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Andale Sans UI" w:cs="Times New Roman"/>
          <w:b/>
          <w:b/>
          <w:bCs/>
          <w:kern w:val="2"/>
          <w:sz w:val="24"/>
          <w:szCs w:val="24"/>
          <w:lang w:val="uk-UA"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2973705</wp:posOffset>
            </wp:positionH>
            <wp:positionV relativeFrom="paragraph">
              <wp:posOffset>-356870</wp:posOffset>
            </wp:positionV>
            <wp:extent cx="421005" cy="60134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" t="-91" r="-13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val="uk-UA" w:eastAsia="zh-CN"/>
        </w:rPr>
        <w:t>К</w:t>
      </w:r>
      <w:r>
        <w:rPr>
          <w:rFonts w:eastAsia="Andale Sans UI" w:cs="Times New Roman" w:ascii="Times New Roman" w:hAnsi="Times New Roman"/>
          <w:b/>
          <w:bCs/>
          <w:kern w:val="2"/>
          <w:sz w:val="24"/>
          <w:szCs w:val="24"/>
          <w:lang w:val="uk-UA" w:eastAsia="zh-CN"/>
        </w:rPr>
        <w:t>ОПІЯ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ПОКРОВСЬКА МІСЬКА РАДА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  <w:lang w:val="uk-UA"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uk-UA" w:eastAsia="zh-CN"/>
        </w:rPr>
        <w:t>РІШЕННЯ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ar-SA"/>
        </w:rPr>
        <w:t>22. 07. 2022</w:t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ar-SA"/>
        </w:rPr>
        <w:tab/>
        <w:tab/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</w:t>
      </w:r>
      <w:r>
        <w:rPr>
          <w:rFonts w:eastAsia="Times New Roman"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color w:val="000000"/>
          <w:sz w:val="20"/>
          <w:szCs w:val="20"/>
          <w:lang w:val="uk-UA"/>
        </w:rPr>
        <w:t xml:space="preserve"> м.Покров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</w:t>
      </w: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 </w:t>
        <w:tab/>
        <w:tab/>
        <w:t xml:space="preserve">         </w:t>
      </w:r>
      <w:r>
        <w:rPr>
          <w:rFonts w:eastAsia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</w:t>
      </w:r>
      <w:r>
        <w:rPr>
          <w:rFonts w:eastAsia="Times New Roman"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ar-SA"/>
        </w:rPr>
        <w:t>3</w:t>
      </w:r>
    </w:p>
    <w:p>
      <w:pPr>
        <w:pStyle w:val="Normal"/>
        <w:widowControl w:val="false"/>
        <w:spacing w:lineRule="auto" w:line="240" w:before="114" w:after="114"/>
        <w:jc w:val="center"/>
        <w:rPr>
          <w:rFonts w:ascii="Times New Roman" w:hAnsi="Times New Roman" w:eastAsia="Andale Sans UI" w:cs="Times New Roman"/>
          <w:kern w:val="2"/>
          <w:sz w:val="26"/>
          <w:szCs w:val="26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26"/>
          <w:szCs w:val="26"/>
          <w:lang w:val="uk-UA" w:eastAsia="zh-CN"/>
        </w:rPr>
        <w:t>(27 сесія 8 скликання)</w:t>
      </w:r>
    </w:p>
    <w:p>
      <w:pPr>
        <w:pStyle w:val="Normal"/>
        <w:widowControl w:val="false"/>
        <w:spacing w:lineRule="auto" w:line="240" w:before="114" w:after="114"/>
        <w:jc w:val="center"/>
        <w:rPr>
          <w:rFonts w:ascii="Times New Roman" w:hAnsi="Times New Roman" w:eastAsia="Times New Roman" w:cs="Times New Roman"/>
          <w:sz w:val="10"/>
          <w:szCs w:val="10"/>
          <w:lang w:val="ru-RU" w:eastAsia="zh-CN"/>
        </w:rPr>
      </w:pPr>
      <w:r>
        <w:rPr>
          <w:rFonts w:eastAsia="Times New Roman" w:cs="Times New Roman" w:ascii="Times New Roman" w:hAnsi="Times New Roman"/>
          <w:sz w:val="10"/>
          <w:szCs w:val="10"/>
          <w:lang w:val="ru-RU" w:eastAsia="zh-CN"/>
        </w:rPr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065"/>
      </w:tblGrid>
      <w:tr>
        <w:trPr/>
        <w:tc>
          <w:tcPr>
            <w:tcW w:w="1006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uk-UA"/>
              </w:rPr>
              <w:t xml:space="preserve">Про затвердження Правил використання об’єктів благоустрою власниками транспортних засобів на території Покровської міської територіальної громади Дніпропетровської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ru-RU"/>
              </w:rPr>
              <w:t>області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  <w:t xml:space="preserve">З метою визначення єдиного порядку організації та функціонування зон паркування транспортних засобів на території Покровської міської територіальної громади Дніпропетровської </w:t>
      </w:r>
      <w:r>
        <w:rPr>
          <w:rFonts w:eastAsia="Calibri" w:cs="Times New Roman" w:ascii="Times New Roman" w:hAnsi="Times New Roman"/>
          <w:sz w:val="26"/>
          <w:szCs w:val="26"/>
          <w:lang w:val="ru-RU"/>
        </w:rPr>
        <w:t>області,</w:t>
      </w:r>
      <w:r>
        <w:rPr>
          <w:rFonts w:eastAsia="Calibri" w:cs="Times New Roman" w:ascii="Times New Roman" w:hAnsi="Times New Roman"/>
          <w:sz w:val="26"/>
          <w:szCs w:val="26"/>
          <w:lang w:val="uk-UA"/>
        </w:rPr>
        <w:t xml:space="preserve"> забезпечення належного благоустрою, посилення контролю та притягнення до адміністративної відповідальності власників транспортних засобів, які порушують вимоги Правил паркування, відповідно до законів України "Про місцеве самоврядування в Україні", "Про благоустрій населених пунктів", Постанови Кабінету Міністрів України «Про затвердження Єдиних правил ремонту і утримання автомобільних доріг, вулиць, залізничних переїздів, правил користування ними та охорони», рішення 27 сесії  міської ради 8 скликання від 22.07.2022 «Про затвердження Правил благоустрою населених пунктів Покровської міської територіальної громади Дніпропетровської області», міська рада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before="0" w:after="0"/>
        <w:rPr>
          <w:rFonts w:ascii="Calibri" w:hAnsi="Calibri" w:eastAsia="Calibri" w:cs="Calibri"/>
          <w:b/>
          <w:b/>
          <w:bCs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  <w:lang w:val="uk-UA"/>
        </w:rPr>
        <w:t>ВИРІШИЛА: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  <w:t>1.Затвердити Правила використання об’єктів благоустрою власниками транспортних засобів на території Покровської міської територіальної громади Дніпропетровської області, що додаються.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  <w:t>2.Відділу архітектури та інспекції ДАБК виконавчого комітету Покровської міської ради оприлюднити дане рішення в засобах масової інформації та на офіційному сайті Покровської міської ради.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  <w:t>3.Координацію роботи щодо виконання цього рішення покласти на відділ архітектури та інспекції ДАБК виконавчого комітету Покровської міської ради; контроль - на заступника міського голови Ганну ЦУПРОВУ, на постійні комісії з питань містобудування та архітектури, землекористування та охорони навколишнього природного середовища і з питань благоустрою, житлово-комунального господарства та енергозбереження, транспорту та зв’язку, розвитку промисловості та підприємства.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6"/>
          <w:szCs w:val="26"/>
          <w:lang w:val="ru-RU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>Міський голова</w:t>
        <w:tab/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6"/>
          <w:szCs w:val="26"/>
          <w:lang w:val="ru-RU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ru-RU" w:eastAsia="zh-CN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val="uk-UA" w:eastAsia="zh-CN"/>
        </w:rPr>
        <w:t>Галанова Вікторія 4 32 46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spacing w:lineRule="auto" w:line="240" w:before="0" w:after="160"/>
        <w:ind w:right="-481" w:hanging="0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  <w:r>
        <w:rPr>
          <w:rFonts w:ascii="Times New Roman" w:hAnsi="Times New Roman"/>
          <w:bCs/>
          <w:sz w:val="24"/>
          <w:szCs w:val="24"/>
          <w:highlight w:val="lightGray"/>
          <w:lang w:val="ru-RU"/>
        </w:rPr>
      </w:r>
    </w:p>
    <w:p>
      <w:pPr>
        <w:pStyle w:val="Normal"/>
        <w:spacing w:lineRule="auto" w:line="240" w:before="0" w:after="160"/>
        <w:ind w:right="-481" w:hanging="0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  <w:r>
        <w:rPr>
          <w:rFonts w:ascii="Times New Roman" w:hAnsi="Times New Roman"/>
          <w:bCs/>
          <w:sz w:val="24"/>
          <w:szCs w:val="24"/>
          <w:highlight w:val="lightGray"/>
          <w:lang w:val="ru-RU"/>
        </w:rPr>
      </w:r>
    </w:p>
    <w:p>
      <w:pPr>
        <w:pStyle w:val="Normal"/>
        <w:spacing w:lineRule="auto" w:line="240" w:before="0" w:after="160"/>
        <w:ind w:left="6930" w:right="-481" w:hanging="0"/>
        <w:contextualSpacing/>
        <w:rPr>
          <w:rFonts w:ascii="Times New Roman" w:hAnsi="Times New Roman" w:eastAsia="Calibri" w:cs="Calibri"/>
          <w:bCs/>
          <w:sz w:val="24"/>
          <w:szCs w:val="24"/>
          <w:lang w:val="ru-RU"/>
        </w:rPr>
      </w:pP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>ЗАТВЕРДЖЕНО</w:t>
      </w:r>
    </w:p>
    <w:p>
      <w:pPr>
        <w:pStyle w:val="Normal"/>
        <w:spacing w:lineRule="auto" w:line="240" w:before="0" w:after="160"/>
        <w:ind w:left="6930" w:right="-481" w:hanging="0"/>
        <w:contextualSpacing/>
        <w:rPr>
          <w:rFonts w:ascii="Times New Roman" w:hAnsi="Times New Roman" w:eastAsia="Calibri" w:cs="Calibri"/>
          <w:bCs/>
          <w:sz w:val="24"/>
          <w:szCs w:val="24"/>
          <w:lang w:val="ru-RU"/>
        </w:rPr>
      </w:pPr>
      <w:r>
        <w:rPr>
          <w:rFonts w:eastAsia="Calibri" w:cs="Calibri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spacing w:lineRule="auto" w:line="240" w:before="0" w:after="160"/>
        <w:ind w:left="6930" w:right="-481" w:hanging="0"/>
        <w:contextualSpacing/>
        <w:rPr>
          <w:rFonts w:ascii="Times New Roman" w:hAnsi="Times New Roman" w:eastAsia="Calibri" w:cs="Calibri"/>
          <w:bCs/>
          <w:sz w:val="24"/>
          <w:szCs w:val="24"/>
          <w:lang w:val="ru-RU"/>
        </w:rPr>
      </w:pP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>Рішення</w:t>
      </w:r>
      <w:r>
        <w:rPr>
          <w:rFonts w:eastAsia="Calibri" w:cs="Calibri" w:ascii="Times New Roman" w:hAnsi="Times New Roman"/>
          <w:bCs/>
          <w:sz w:val="24"/>
          <w:szCs w:val="24"/>
          <w:lang w:val="uk-UA"/>
        </w:rPr>
        <w:t xml:space="preserve"> 27  сесії</w:t>
      </w: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 xml:space="preserve">  міської ради</w:t>
      </w:r>
    </w:p>
    <w:p>
      <w:pPr>
        <w:pStyle w:val="Normal"/>
        <w:spacing w:lineRule="auto" w:line="240" w:before="0" w:after="160"/>
        <w:ind w:left="6930" w:right="-481" w:hanging="0"/>
        <w:contextualSpacing/>
        <w:rPr>
          <w:rFonts w:ascii="Times New Roman" w:hAnsi="Times New Roman" w:eastAsia="Calibri" w:cs="Calibri"/>
          <w:bCs/>
          <w:sz w:val="24"/>
          <w:szCs w:val="24"/>
          <w:lang w:val="ru-RU"/>
        </w:rPr>
      </w:pPr>
      <w:r>
        <w:rPr>
          <w:rFonts w:eastAsia="Calibri" w:cs="Calibri" w:ascii="Times New Roman" w:hAnsi="Times New Roman"/>
          <w:bCs/>
          <w:sz w:val="24"/>
          <w:szCs w:val="24"/>
          <w:lang w:val="uk-UA"/>
        </w:rPr>
        <w:t>8</w:t>
      </w: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 xml:space="preserve">  скликання</w:t>
      </w:r>
    </w:p>
    <w:p>
      <w:pPr>
        <w:pStyle w:val="Normal"/>
        <w:jc w:val="center"/>
        <w:rPr>
          <w:rFonts w:ascii="Times New Roman" w:hAnsi="Times New Roman" w:eastAsia="Calibri" w:cs="Calibri"/>
          <w:bCs/>
          <w:sz w:val="24"/>
          <w:szCs w:val="24"/>
          <w:lang w:val="ru-RU"/>
        </w:rPr>
      </w:pP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ab/>
        <w:tab/>
        <w:tab/>
        <w:tab/>
        <w:tab/>
        <w:tab/>
        <w:tab/>
        <w:tab/>
        <w:t xml:space="preserve">              «</w:t>
      </w:r>
      <w:r>
        <w:rPr>
          <w:rFonts w:eastAsia="Calibri" w:cs="Calibri" w:ascii="Times New Roman" w:hAnsi="Times New Roman"/>
          <w:bCs/>
          <w:sz w:val="24"/>
          <w:szCs w:val="24"/>
          <w:lang w:val="uk-UA"/>
        </w:rPr>
        <w:t>22</w:t>
      </w: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 xml:space="preserve">» </w:t>
      </w:r>
      <w:r>
        <w:rPr>
          <w:rFonts w:eastAsia="Calibri" w:cs="Calibri" w:ascii="Times New Roman" w:hAnsi="Times New Roman" w:eastAsiaTheme="minorHAnsi"/>
          <w:bCs/>
          <w:color w:val="auto"/>
          <w:kern w:val="0"/>
          <w:sz w:val="24"/>
          <w:szCs w:val="24"/>
          <w:lang w:val="ru-RU" w:eastAsia="en-US" w:bidi="ar-SA"/>
        </w:rPr>
        <w:t xml:space="preserve">липня </w:t>
      </w:r>
      <w:r>
        <w:rPr>
          <w:rFonts w:eastAsia="Calibri" w:cs="Calibri" w:ascii="Times New Roman" w:hAnsi="Times New Roman"/>
          <w:bCs/>
          <w:sz w:val="24"/>
          <w:szCs w:val="24"/>
          <w:lang w:val="ru-RU"/>
        </w:rPr>
        <w:t xml:space="preserve">2022 р.   №  </w:t>
      </w:r>
      <w:r>
        <w:rPr>
          <w:rFonts w:eastAsia="Calibri" w:cs="Calibri" w:ascii="Times New Roman" w:hAnsi="Times New Roman"/>
          <w:bCs/>
          <w:sz w:val="24"/>
          <w:szCs w:val="24"/>
          <w:lang w:val="uk-UA"/>
        </w:rPr>
        <w:t>13</w:t>
      </w:r>
    </w:p>
    <w:p>
      <w:pPr>
        <w:pStyle w:val="Normal"/>
        <w:jc w:val="center"/>
        <w:rPr>
          <w:rFonts w:ascii="Times New Roman" w:hAnsi="Times New Roman" w:eastAsia="Calibri" w:cs="Calibri"/>
          <w:bCs/>
          <w:sz w:val="24"/>
          <w:szCs w:val="24"/>
          <w:lang w:val="ru-RU"/>
        </w:rPr>
      </w:pPr>
      <w:r>
        <w:rPr>
          <w:rFonts w:eastAsia="Calibri" w:cs="Calibri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 w:eastAsia="zh-CN"/>
        </w:rPr>
        <w:t>ПРАВИЛА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  <w:t>ВИКОРИСТАННЯ ОБ’ЄКТІВ БЛАГОУСТРОЮ ВЛАСНИКАМИ (НАЛЕЖНИМИ КОРИСТУВАЧАМИ) ТРАНСПОРТНИХ ЗАСОБІВ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НА ТЕРИТОРІЇ ПОКРОВСЬКОЇ МІСЬКОЇ ТЕРИТОРІАЛЬНОЇ ГРОМАДИ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uk-UA"/>
        </w:rPr>
        <w:t>1. Загальні положення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1.1. Правила використання об’єктів благоустрою власниками (належними користувачами) транспортних засобів розроблені відповідно до затверджених Правил дорожнього руху з метою впорядкування руху на територіях житлової зони, порядку облаштування та використання майданчиків для паркування.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 На об’єктах благоустрою забороняється: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1.2.1. Ускладнювати рух транспорту або створювати перешкоду для руху пішоходів, у тому числі осіб з інвалідністю на спеціальних засобах пересування та пішоходів із дитячими колясками;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1.2.2. Перешкоджати роботі міського пасажирського транспорту, проїзду оперативних та спеціалізованих транспортних засобів;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1.2.3. Розміщувати транспортні засоби: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1.2.3.1. На тротуарах, крім випадків, визначених Правилами дорожнього руху;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1.2.3.2. У спосіб, що перешкоджає дорожньому руху;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1.2.3.3. Ближче 10 метрів від позначеного місця виконання дорожніх робіт і в зоні їх виконання;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1.2.3.4. У місцях, де буде неможливим зустрічний роз’їзд або об’їзд транспортного засобу, що зупинився;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1.2.3.5. Якщо розташовано на позначеній відповідними дорожніми знаками та/або дорожньою розміткою велодоріжці.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1.3. У житловій зоні забороняється: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1.3.1. Стоянка транспортних засобів поза спеціально відведеними місцями і таке їх розташування, яке ускладнює рух пішоходів і проїзд оперативних чи спеціальних транспортних засобів;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1.3.2. Стоянка з працюючим двигуном.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uk-UA"/>
        </w:rPr>
        <w:t>2. Паркування у житлових та пішохідних зонах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2.1. Забороняється паркування: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2.1.1. Безпосередньо перед входом до під’їзду житлового будинку;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1.1.2.  Ближче 5 метрів від контейнерних майданчиків та/або контейнерів для збирання побутових відходів;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2.1.3. Із заїздом на відокремлений бордюром чи позначений у інший спосіб тротуар прибудинкової території;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2.1.4. Вантажних транспортних засобів, у тому числі з дозволеною масою до 3,5 т;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2.1.5. Несправних та аварійних транспортних засобів;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2.1.6. У спосіб, що робить неможливим рух інших транспортних засобів або створює перешкоду для руху пішоходів, у тому числі осіб з інвалідністю на спеціальних засобах пересування та пішоходів із дитячими колясками.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2.2. У пішохідну зону в’їзд дозволяється лише транспортним засобам, що обслуговують громадян і підприємства, які розташовані у зазначеній зоні, а також транспортним засобам, що належать громадянам, які проживають або працюють у цій зоні, чи автомобілям (мотоколяскам), позначеним розпізнавальним знаком «Водій з інвалідністю», якими керують водії з інвалідністю або водії, які перевозять пасажирів з інвалідністю. Якщо до об’єктів, розташованих на цій території, є інші під’їзди, водії повинні користуватися лише ними.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2.3. Власники спеціально обладнаних чи відведених майданчиків для паркування забезпечують виділення та облаштування в межах майданчиків місць для безоплатного паркування транспортних засобів, якими керують водії з інвалідністю або водії, які перевозять осіб з інвалідністю. Водії з інвалідністю або водії, які перевозять осіб з інвалідністю, у тому числі на транспортних засобах, що належать підприємствам, установам, організаціям, які здійснюють діяльність у сфері соціального захисту населення, та громадським організаціям осіб з інвалідністю, мають право на встановлення на транспортному засобі розпізнавального знака «Водій з інвалідністю» та під час перевезення осіб з інвалідністю користуються всіма перевагами, що надаються водіям з інвалідністю. Водії, які керують транспортними засобами, на яких встановлений розпізнавальний знак «Водій з інвалідністю», повинні мати при собі документи, що підтверджують інвалідність водія або одного з пасажирів. Кількість місць, призначених для безоплатного паркування транспортних засобів, якими керують водії з інвалідністю або водії, які перевозять осіб з інвалідністю, становить не менше 10 відсотків загальної кількості місць на спеціально обладнаних чи відведених майданчиках для паркування, але не менше одного місця з позначенням таких місць відповідними дорожніми знаками або дорожньою розміткою.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2.4. Якщо власники спеціально обладнаних чи відведених майданчиків для паркування не забезпечили виділення та облаштування місць, призначених для безоплатного паркування транспортних засобів, якими керують водії з інвалідністю або водії, які перевозять осіб з інвалідністю, такими місцями на відповідних майданчиках вважаються місця, на яких розміщені транспортні засоби, якими керують водії з інвалідністю або водії, які перевозять осіб з інвалідністю.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2.5. Місця для безоплатного паркування транспортних засобів також виділяються на спеціально обладнаних чи відведених майданчиках, у тому числі біля житлових будинків (крім індивідуальних житлових будинків) та інших будівель, їх власниками/співвласниками (управителями) або орендарями, на проїжджих частинах автомобільних доріг і тротуарах (із числа місць для зупинки та стоянки транспортних засобів) — Покровською міською радою (суб’єктами господарювання, якщо їм у встановленому порядку передано відповідні частини доріг і тротуарів для ведення господарської діяльності) з позначенням таких місць відповідними дорожніми знаками або дорожньою розміткою.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2.6. Місця для транспортних засобів, визначені на спеціально обладнаних чи відведених майданчиках біля будівель і будинків, мають бути розміщені максимально близько до входу до таких будівель і будинків, а на окремих спеціально обладнаних чи відведених майданчиках – максимально близько до в’їзду на такі майданчики.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uk-UA"/>
        </w:rPr>
        <w:t>3. Утримання територій автостоянок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3.1. На територіях автостоянок забезпечується додержання 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№145, встановленого порядку паркування.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3.2. Утримання у належному стані територій автостоянок здійснюють із дотриманням вимог Правил зберігання транспортних засобів на автостоянках, затверджених постановою Кабінету Міністрів України від 22 січня 1996 року  № 115, Правил паркування транспортних засобів, затверджених постановою Кабінету Міністрів України від 3 грудня 2009 року № 1342, та Правил пожежної безпеки в Україні, затверджених наказом Міністерства внутрішніх справ України від 30 грудня 2014 року № 1417.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 Роботи з утримання в належному стані територій автостоянок включають: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3.3.1. Очищення, миття, відновлення і заміну дорожніх знаків та інформаційних стендів (щитів), належне утримання дорожньої розмітки місць для стоянки або паркування, в’їздів та виїздів, а також транспортних або пішохідних огороджень (у разі наявності);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3.3.2. Систематичне очищення території та під’їзних шляхів від пилу, сміття та листя шляхом їх підмітання та миття;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3.3.3. Забезпечення постійного очищення території та під’їзних шляхів від снігу, починаючи з початку снігопаду, та від ожеледі, починаючи з моменту її виникнення, і обробки їх фрикційними та іншими протиожеледними матеріалами;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3.3.4. Утримання та поточний ремонт дорожнього покриття і під’їзних шляхів, а також систем поверхневого водовідведення у межах території (за наявності);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3.3.5. Забезпечення функціонування паркувальних автоматів, в’їзних та виїзних терміналів (очищення, миття, фарбування, відновлення їх роботи, заміна окремих деталей, планові обстеження, нагляд за справністю, їх технічна підтримка та програмне забезпечення);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3.3.6. Забезпечення утримання та належного функціонування засобів та обладнання зовнішнього освітлення території;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3.3.7. Утримання контрольно-пропускного пункту, приміщення для обслуговуючого персоналу, вбиралень, побутових приміщень тощо (за наявності);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3.3.8. Забезпечення функціонування систем відеоспостереження за рухом транспортних засобів на їх території і табло зі змінною інформацією про наявність вільних місць (у разі їх наявності), яке розташовується на в’їзді;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3.3.9. Утримання систем протипожежного захисту та зовнішнього протипожежного водопроводу;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3.3.10. Утримання первинних засобів пожежогасіння (вогнегасників), пожежного інвентарю, обладнання та засобів пожежогасіння;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3.3.11. Утримання зелених насаджень, їх охорона та відновлення.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3.4. На автостоянках забороняється: засмічувати територію, мити транспортні засоби у непередбачених для цього місцях, розпалювати вогнища, здійснювати торгівлю, зливати відпрацьовані мастила на землю чи дорожнє покриття, псувати обладнання місць стоянки, паркування, пошкоджувати зелені насадження.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3.5. Автостоянки використовують виключно за цільовим призначенням.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uk-UA"/>
        </w:rPr>
        <w:t>4. Здійснення контролю за виконанням цих Правил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4.1. За порушення вимог цих Правил передбачена адміністративна відповідальність відповідно до ст. 152 Кодексу України про адміністративні правопорушення (КУпАП);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4.2. Якщо виявлено порушення вимог цих Правил, посадова особа наглядового (контролюючого) органу у межах наданих повноважень складає</w:t>
      </w:r>
      <w:r>
        <w:rPr>
          <w:rFonts w:eastAsia="Calibri"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документи реагування на усунення порушення (припис, протокол), які є обов’язковими для виконання у визначений термін особами, скоївшими правопорушення;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4.3. Відповідно до рішення виконавчого комітету Покровської міської ради «Про надання повноважень складати протоколи» від 26.08.2021 за статтею 152 КУпАП мають право складати протоколи наступні особи наглядового (контролюючого) органу: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 w:ascii="Times New Roman" w:hAnsi="Times New Roman"/>
          <w:sz w:val="24"/>
          <w:szCs w:val="24"/>
          <w:lang w:val="uk-UA"/>
        </w:rPr>
        <w:t>- начальник відділу архітектури та інспекції ДАБК виконавчого комітету Покровської міської ради;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начальник управління ЖКГ та будівництва виконавчого комітету Покровської міської ради;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- заступник начальника управління ЖКГ та будівництва </w:t>
      </w:r>
      <w:r>
        <w:rPr>
          <w:rFonts w:eastAsia="Calibri" w:cs="Times New Roman" w:ascii="Times New Roman" w:hAnsi="Times New Roman"/>
          <w:sz w:val="24"/>
          <w:szCs w:val="24"/>
          <w:lang w:val="uk-UA"/>
        </w:rPr>
        <w:t>виконавчого комітету</w:t>
      </w:r>
      <w:r>
        <w:rPr>
          <w:rFonts w:eastAsia="Calibri" w:cs="Times New Roman" w:ascii="Times New Roman" w:hAnsi="Times New Roman"/>
          <w:sz w:val="24"/>
          <w:szCs w:val="24"/>
          <w:lang w:val="ru-RU"/>
        </w:rPr>
        <w:t xml:space="preserve"> Покровської міської ради;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начальник відділу економіки виконавчого комітету Покровської міської ради;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головний спеціаліст відділу економіки виконавчого комітету Покровської міської ради;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директор ПМКП «ЖИТЛКОМСЕРВІС»;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директор ТОВ «Універсал-сервіс 94»;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головний інженер ТОВ «Універсал-сервіс 94»;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директор МКП «Добробут»;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головний інженер ПМКП «Добробут»;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  <w:t>- голови ОСББ.</w:t>
      </w:r>
    </w:p>
    <w:p>
      <w:pPr>
        <w:pStyle w:val="Normal"/>
        <w:suppressAutoHyphens w:val="false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ru-RU" w:eastAsia="ru-RU"/>
        </w:rPr>
      </w:r>
    </w:p>
    <w:p>
      <w:pPr>
        <w:pStyle w:val="Normal"/>
        <w:suppressAutoHyphens w:val="false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uk-UA" w:eastAsia="ru-RU"/>
        </w:rPr>
      </w:r>
    </w:p>
    <w:p>
      <w:pPr>
        <w:pStyle w:val="Normal"/>
        <w:suppressAutoHyphens w:val="false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uk-UA" w:eastAsia="ru-RU"/>
        </w:rPr>
        <w:t>Головний архітектор -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uk-UA" w:eastAsia="ru-RU"/>
        </w:rPr>
        <w:t xml:space="preserve">начальник відділу архітектури та </w:t>
      </w:r>
    </w:p>
    <w:p>
      <w:pPr>
        <w:pStyle w:val="Normal"/>
        <w:spacing w:lineRule="auto" w:line="240" w:before="0" w:after="160"/>
        <w:ind w:right="-481" w:hanging="0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uk-UA" w:eastAsia="ru-RU"/>
        </w:rPr>
        <w:t>інспекції ДАБК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ab/>
        <w:tab/>
        <w:tab/>
        <w:tab/>
        <w:tab/>
        <w:tab/>
        <w:tab/>
        <w:tab/>
        <w:t>Вікторія  ГАЛАНОВ</w:t>
      </w:r>
    </w:p>
    <w:sectPr>
      <w:headerReference w:type="default" r:id="rId3"/>
      <w:type w:val="nextPage"/>
      <w:pgSz w:w="12240" w:h="15840"/>
      <w:pgMar w:left="1417" w:right="758" w:header="708" w:top="850" w:footer="0" w:bottom="567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Unicode MS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59295749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8"/>
      <w:rPr>
        <w:lang w:val="uk-UA"/>
      </w:rPr>
    </w:pPr>
    <w:r>
      <w:rPr>
        <w:lang w:val="uk-UA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505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e247f6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0055e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247f6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Rvts46" w:customStyle="1">
    <w:name w:val="rvts46"/>
    <w:basedOn w:val="DefaultParagraphFont"/>
    <w:qFormat/>
    <w:rsid w:val="00e50160"/>
    <w:rPr/>
  </w:style>
  <w:style w:type="character" w:styleId="Rvts37" w:customStyle="1">
    <w:name w:val="rvts37"/>
    <w:basedOn w:val="DefaultParagraphFont"/>
    <w:qFormat/>
    <w:rsid w:val="00e50160"/>
    <w:rPr/>
  </w:style>
  <w:style w:type="character" w:styleId="Style14" w:customStyle="1">
    <w:name w:val="Гіперпосилання"/>
    <w:basedOn w:val="DefaultParagraphFont"/>
    <w:unhideWhenUsed/>
    <w:rsid w:val="00e50160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632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876324"/>
    <w:rPr>
      <w:sz w:val="20"/>
      <w:szCs w:val="20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876324"/>
    <w:rPr>
      <w:b/>
      <w:bCs/>
      <w:sz w:val="20"/>
      <w:szCs w:val="20"/>
    </w:rPr>
  </w:style>
  <w:style w:type="character" w:styleId="Style17" w:customStyle="1">
    <w:name w:val="Основной текст Знак"/>
    <w:basedOn w:val="DefaultParagraphFont"/>
    <w:qFormat/>
    <w:rsid w:val="00934021"/>
    <w:rPr>
      <w:rFonts w:ascii="Times New Roman" w:hAnsi="Times New Roman" w:eastAsia="Times New Roman" w:cs="Times New Roman"/>
      <w:sz w:val="28"/>
      <w:szCs w:val="20"/>
      <w:lang w:val="uk-UA" w:eastAsia="zh-CN"/>
    </w:rPr>
  </w:style>
  <w:style w:type="character" w:styleId="WW8Num1z0" w:customStyle="1">
    <w:name w:val="WW8Num1z0"/>
    <w:qFormat/>
    <w:rsid w:val="00e84f03"/>
    <w:rPr/>
  </w:style>
  <w:style w:type="character" w:styleId="Appleconvertedspace" w:customStyle="1">
    <w:name w:val="apple-converted-space"/>
    <w:basedOn w:val="DefaultParagraphFont"/>
    <w:qFormat/>
    <w:rsid w:val="00e84f03"/>
    <w:rPr/>
  </w:style>
  <w:style w:type="character" w:styleId="Rvts9" w:customStyle="1">
    <w:name w:val="rvts9"/>
    <w:basedOn w:val="DefaultParagraphFont"/>
    <w:qFormat/>
    <w:rsid w:val="00e84f03"/>
    <w:rPr/>
  </w:style>
  <w:style w:type="character" w:styleId="Rvts23" w:customStyle="1">
    <w:name w:val="rvts23"/>
    <w:basedOn w:val="DefaultParagraphFont"/>
    <w:qFormat/>
    <w:rsid w:val="00e84f03"/>
    <w:rPr/>
  </w:style>
  <w:style w:type="character" w:styleId="HTML" w:customStyle="1">
    <w:name w:val="Стандартный HTML Знак"/>
    <w:basedOn w:val="DefaultParagraphFont"/>
    <w:link w:val="HTML"/>
    <w:qFormat/>
    <w:rsid w:val="00e84f03"/>
    <w:rPr>
      <w:rFonts w:ascii="Courier New" w:hAnsi="Courier New" w:eastAsia="Times New Roman" w:cs="Courier New"/>
      <w:sz w:val="20"/>
      <w:szCs w:val="20"/>
      <w:lang w:val="uk-UA" w:eastAsia="zh-CN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d7581f"/>
    <w:rPr/>
  </w:style>
  <w:style w:type="character" w:styleId="Style19" w:customStyle="1">
    <w:name w:val="Нижний колонтитул Знак"/>
    <w:basedOn w:val="DefaultParagraphFont"/>
    <w:uiPriority w:val="99"/>
    <w:qFormat/>
    <w:rsid w:val="00d7581f"/>
    <w:rPr/>
  </w:style>
  <w:style w:type="character" w:styleId="3">
    <w:name w:val="Заголовок 3 Знак"/>
    <w:qFormat/>
    <w:rPr>
      <w:rFonts w:ascii="Arial" w:hAnsi="Arial" w:eastAsia="Arial"/>
      <w:b/>
      <w:bCs/>
      <w:sz w:val="26"/>
      <w:szCs w:val="26"/>
      <w:lang w:eastAsia="ru-RU"/>
    </w:rPr>
  </w:style>
  <w:style w:type="character" w:styleId="5">
    <w:name w:val="Основной шрифт абзаца5"/>
    <w:qFormat/>
    <w:rPr/>
  </w:style>
  <w:style w:type="character" w:styleId="Strong">
    <w:name w:val="Strong"/>
    <w:qFormat/>
    <w:rPr>
      <w:b/>
    </w:rPr>
  </w:style>
  <w:style w:type="character" w:styleId="Style20">
    <w:name w:val="Выделение жирным"/>
    <w:qFormat/>
    <w:rPr>
      <w:b/>
    </w:rPr>
  </w:style>
  <w:style w:type="character" w:styleId="WW8Num2z1">
    <w:name w:val="WW8Num2z1"/>
    <w:qFormat/>
    <w:rPr>
      <w:rFonts w:eastAsia="Times New Roman"/>
    </w:rPr>
  </w:style>
  <w:style w:type="character" w:styleId="Style21">
    <w:name w:val="Основной шрифт абзаца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rsid w:val="00934021"/>
    <w:pPr>
      <w:spacing w:lineRule="auto" w:line="240" w:before="0" w:after="120"/>
    </w:pPr>
    <w:rPr>
      <w:rFonts w:ascii="Times New Roman" w:hAnsi="Times New Roman" w:eastAsia="Times New Roman" w:cs="Times New Roman"/>
      <w:sz w:val="28"/>
      <w:szCs w:val="20"/>
      <w:lang w:val="uk-UA" w:eastAsia="zh-CN"/>
    </w:rPr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0055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0fa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7384"/>
    <w:pPr>
      <w:spacing w:before="0" w:after="160"/>
      <w:ind w:left="720" w:hanging="0"/>
      <w:contextualSpacing/>
    </w:pPr>
    <w:rPr/>
  </w:style>
  <w:style w:type="paragraph" w:styleId="Rvps2" w:customStyle="1">
    <w:name w:val="rvps2"/>
    <w:basedOn w:val="Normal"/>
    <w:qFormat/>
    <w:rsid w:val="00e501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Annotationtext">
    <w:name w:val="annotation text"/>
    <w:basedOn w:val="Normal"/>
    <w:uiPriority w:val="99"/>
    <w:semiHidden/>
    <w:unhideWhenUsed/>
    <w:qFormat/>
    <w:rsid w:val="0087632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876324"/>
    <w:pPr/>
    <w:rPr>
      <w:b/>
      <w:bCs/>
    </w:rPr>
  </w:style>
  <w:style w:type="paragraph" w:styleId="31" w:customStyle="1">
    <w:name w:val="Основной текст с отступом 31"/>
    <w:basedOn w:val="Normal"/>
    <w:qFormat/>
    <w:rsid w:val="00e84f03"/>
    <w:pPr>
      <w:spacing w:lineRule="auto" w:line="240" w:before="0" w:after="0"/>
      <w:ind w:left="709" w:hanging="0"/>
      <w:jc w:val="both"/>
    </w:pPr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paragraph" w:styleId="HTMLPreformatted">
    <w:name w:val="HTML Preformatted"/>
    <w:basedOn w:val="Normal"/>
    <w:qFormat/>
    <w:rsid w:val="00e84f03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 w:eastAsia="zh-CN"/>
    </w:rPr>
  </w:style>
  <w:style w:type="paragraph" w:styleId="32" w:customStyle="1">
    <w:name w:val="Основной текст с отступом 32"/>
    <w:basedOn w:val="Normal"/>
    <w:qFormat/>
    <w:rsid w:val="00e84f0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16"/>
      <w:szCs w:val="16"/>
      <w:lang w:val="uk-UA" w:eastAsia="zh-CN"/>
    </w:rPr>
  </w:style>
  <w:style w:type="paragraph" w:styleId="Style27" w:customStyle="1">
    <w:name w:val="Верхній і нижній колонтитули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d7581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d7581f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0"/>
      <w:sz w:val="28"/>
      <w:szCs w:val="28"/>
      <w:lang w:val="uk-UA" w:eastAsia="ar-SA" w:bidi="ar-SA"/>
    </w:rPr>
  </w:style>
  <w:style w:type="paragraph" w:styleId="311">
    <w:name w:val="Заголовок 31"/>
    <w:basedOn w:val="Normal"/>
    <w:qFormat/>
    <w:pPr>
      <w:keepNext w:val="true"/>
      <w:spacing w:lineRule="exact" w:line="240" w:before="240" w:after="60"/>
    </w:pPr>
    <w:rPr>
      <w:rFonts w:ascii="Arial" w:hAnsi="Arial" w:eastAsia="Arial"/>
      <w:b/>
      <w:bCs/>
      <w:sz w:val="26"/>
      <w:szCs w:val="26"/>
      <w:lang w:eastAsia="ar-SA"/>
    </w:rPr>
  </w:style>
  <w:style w:type="paragraph" w:styleId="P4">
    <w:name w:val="p4"/>
    <w:basedOn w:val="Normal"/>
    <w:qFormat/>
    <w:pPr>
      <w:spacing w:lineRule="exact" w:line="240" w:before="280" w:after="280"/>
    </w:pPr>
    <w:rPr>
      <w:rFonts w:eastAsia="Times New Roman"/>
      <w:lang w:eastAsia="ar-SA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2"/>
      <w:szCs w:val="20"/>
      <w:lang w:val="ru-RU" w:eastAsia="hi-IN" w:bidi="ar-SA"/>
    </w:rPr>
  </w:style>
  <w:style w:type="paragraph" w:styleId="12">
    <w:name w:val="Обычный (веб)1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13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ru-RU" w:eastAsia="hi-IN" w:bidi="ar-SA"/>
    </w:rPr>
  </w:style>
  <w:style w:type="paragraph" w:styleId="Style31">
    <w:name w:val="Заголовок таблицы"/>
    <w:qFormat/>
    <w:pPr>
      <w:widowControl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2"/>
      <w:szCs w:val="22"/>
      <w:lang w:val="en-US" w:eastAsia="en-US" w:bidi="ar-SA"/>
    </w:rPr>
  </w:style>
  <w:style w:type="paragraph" w:styleId="Style32">
    <w:name w:val="Содержимое таблицы"/>
    <w:basedOn w:val="Normal"/>
    <w:qFormat/>
    <w:pPr/>
    <w:rPr/>
  </w:style>
  <w:style w:type="paragraph" w:styleId="NormalWeb">
    <w:name w:val="Normal (Web)"/>
    <w:basedOn w:val="Normal"/>
    <w:qFormat/>
    <w:pPr>
      <w:spacing w:lineRule="auto" w:line="240" w:before="280" w:after="280"/>
      <w:jc w:val="both"/>
    </w:pPr>
    <w:rPr>
      <w:rFonts w:eastAsia="Times New Roman"/>
      <w:color w:val="000000"/>
      <w:lang w:eastAsia="ar-SA"/>
    </w:rPr>
  </w:style>
  <w:style w:type="paragraph" w:styleId="14">
    <w:name w:val="Название объекта1"/>
    <w:basedOn w:val="Normal"/>
    <w:qFormat/>
    <w:pPr>
      <w:spacing w:lineRule="auto" w:line="276" w:before="120" w:after="120"/>
    </w:pPr>
    <w:rPr>
      <w:rFonts w:ascii="Calibri" w:hAnsi="Calibri" w:eastAsia="Calibri"/>
      <w:i/>
      <w:color w:val="00000A"/>
      <w:lang w:eastAsia="ar-SA"/>
    </w:rPr>
  </w:style>
  <w:style w:type="paragraph" w:styleId="Style33">
    <w:name w:val="Обычный (веб)"/>
    <w:basedOn w:val="Normal"/>
    <w:qFormat/>
    <w:pPr>
      <w:spacing w:before="280" w:after="280"/>
    </w:pPr>
    <w:rPr/>
  </w:style>
  <w:style w:type="paragraph" w:styleId="BodyText2">
    <w:name w:val="Body Text 2"/>
    <w:basedOn w:val="Normal"/>
    <w:qFormat/>
    <w:pPr>
      <w:ind w:firstLine="720"/>
      <w:jc w:val="center"/>
    </w:pPr>
    <w:rPr/>
  </w:style>
  <w:style w:type="paragraph" w:styleId="Style34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5">
    <w:name w:val="p5"/>
    <w:basedOn w:val="Normal"/>
    <w:qFormat/>
    <w:pPr>
      <w:spacing w:before="280" w:after="280"/>
    </w:pPr>
    <w:rPr/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/>
      <w:sz w:val="20"/>
      <w:szCs w:val="20"/>
      <w:lang w:eastAsia="ar-SA"/>
    </w:rPr>
  </w:style>
  <w:style w:type="paragraph" w:styleId="Style35">
    <w:name w:val="Знак Знак"/>
    <w:basedOn w:val="Normal"/>
    <w:qFormat/>
    <w:pPr/>
    <w:rPr>
      <w:rFonts w:ascii="Verdana" w:hAnsi="Verdana" w:eastAsia="Verdana"/>
      <w:sz w:val="20"/>
      <w:szCs w:val="20"/>
      <w:lang w:val="en-US" w:eastAsia="ar-SA"/>
    </w:rPr>
  </w:style>
  <w:style w:type="paragraph" w:styleId="33">
    <w:name w:val="Основной текст 3"/>
    <w:basedOn w:val="Normal"/>
    <w:qFormat/>
    <w:pPr/>
    <w:rPr>
      <w:b/>
      <w:lang w:val="uk-UA"/>
    </w:rPr>
  </w:style>
  <w:style w:type="paragraph" w:styleId="Style36">
    <w:name w:val="Знак"/>
    <w:basedOn w:val="Normal"/>
    <w:qFormat/>
    <w:pPr/>
    <w:rPr>
      <w:rFonts w:ascii="Verdana" w:hAnsi="Verdana" w:eastAsia="Verdana"/>
      <w:sz w:val="20"/>
      <w:szCs w:val="20"/>
      <w:lang w:val="en-US" w:eastAsia="ar-SA"/>
    </w:rPr>
  </w:style>
  <w:style w:type="paragraph" w:styleId="Style37">
    <w:name w:val="Название объекта"/>
    <w:basedOn w:val="Normal"/>
    <w:qFormat/>
    <w:pPr>
      <w:jc w:val="center"/>
    </w:pPr>
    <w:rPr>
      <w:b/>
      <w:lang w:val="uk-UA"/>
    </w:rPr>
  </w:style>
  <w:style w:type="paragraph" w:styleId="Style38">
    <w:name w:val="Указатель"/>
    <w:basedOn w:val="Normal"/>
    <w:qFormat/>
    <w:pPr/>
    <w:rPr>
      <w:rFonts w:eastAsia="Arial"/>
      <w:lang w:eastAsia="ar-SA"/>
    </w:rPr>
  </w:style>
  <w:style w:type="paragraph" w:styleId="Style39">
    <w:name w:val="Название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BCEC-258B-416B-AA19-A5FAD461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LibreOffice/7.0.3.1$Windows_X86_64 LibreOffice_project/d7547858d014d4cf69878db179d326fc3483e082</Application>
  <Pages>5</Pages>
  <Words>1498</Words>
  <Characters>10590</Characters>
  <CharactersWithSpaces>12126</CharactersWithSpaces>
  <Paragraphs>84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:description/>
  <dc:language>uk-UA</dc:language>
  <cp:lastModifiedBy/>
  <dcterms:modified xsi:type="dcterms:W3CDTF">2022-07-22T09:10:20Z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