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78112BC9" w14:textId="77777777" w:rsidR="00C27367" w:rsidRDefault="00792CF8" w:rsidP="00C27367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_</w:t>
            </w:r>
            <w:r w:rsidR="00C27367">
              <w:rPr>
                <w:u w:val="single"/>
                <w:lang w:val="uk-UA"/>
              </w:rPr>
              <w:t>23.04.2025</w:t>
            </w:r>
            <w:r w:rsidR="00C27367">
              <w:rPr>
                <w:lang w:val="uk-UA"/>
              </w:rPr>
              <w:t xml:space="preserve">   №   </w:t>
            </w:r>
            <w:r w:rsidR="00C27367"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45C9B6E1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B09C62D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556987">
        <w:rPr>
          <w:b/>
          <w:sz w:val="24"/>
          <w:szCs w:val="24"/>
          <w:lang w:val="uk-UA"/>
        </w:rPr>
        <w:t>№</w:t>
      </w:r>
      <w:r w:rsidR="00527AE2">
        <w:rPr>
          <w:b/>
          <w:sz w:val="24"/>
          <w:szCs w:val="24"/>
          <w:lang w:val="uk-UA"/>
        </w:rPr>
        <w:t xml:space="preserve"> </w:t>
      </w:r>
      <w:r w:rsidR="00A03CEA">
        <w:rPr>
          <w:b/>
          <w:sz w:val="24"/>
          <w:szCs w:val="24"/>
          <w:lang w:val="uk-UA"/>
        </w:rPr>
        <w:t>08-</w:t>
      </w:r>
      <w:r w:rsidR="00201F68">
        <w:rPr>
          <w:b/>
          <w:sz w:val="24"/>
          <w:szCs w:val="24"/>
          <w:lang w:val="uk-UA"/>
        </w:rPr>
        <w:t>76</w:t>
      </w:r>
      <w:r w:rsidR="00A03CEA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7229066D" w:rsidR="00CC490A" w:rsidRPr="00556987" w:rsidRDefault="003146DF" w:rsidP="00792CF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ВСТАНОВЛЕННЯ </w:t>
      </w:r>
      <w:r w:rsidR="00EE6B5F">
        <w:rPr>
          <w:b/>
          <w:sz w:val="24"/>
          <w:szCs w:val="24"/>
          <w:lang w:val="uk-UA"/>
        </w:rPr>
        <w:t>СТАТУСУ ОСОБИ З ІНВАЛІДНІСТЮ ВНАСЛІДОК ВІЙНИ</w:t>
      </w:r>
      <w:r>
        <w:rPr>
          <w:b/>
          <w:sz w:val="24"/>
          <w:szCs w:val="24"/>
          <w:lang w:val="uk-UA"/>
        </w:rPr>
        <w:t>, ВИДАЧА ПОСВІДЧЕННЯ/ДОВІДКИ, ПРОДОВЖЕННЯ СТРОКУ ДІЇ ПОСВІДЧЕННЯ (ВКЛЕЮВАННЯ БЛАНКА-ВКЛАДКИ)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2571526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00</w:t>
      </w:r>
      <w:r w:rsidR="00302C3E">
        <w:rPr>
          <w:bCs/>
          <w:sz w:val="24"/>
          <w:szCs w:val="24"/>
          <w:u w:val="single"/>
          <w:lang w:val="uk-UA"/>
        </w:rPr>
        <w:t>2</w:t>
      </w:r>
      <w:r w:rsidR="00EE6B5F">
        <w:rPr>
          <w:bCs/>
          <w:sz w:val="24"/>
          <w:szCs w:val="24"/>
          <w:u w:val="single"/>
          <w:lang w:val="uk-UA"/>
        </w:rPr>
        <w:t>41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1DE184B2" w:rsidR="0024559F" w:rsidRPr="00907AA5" w:rsidRDefault="00542DAC" w:rsidP="00DD7D4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DD7D42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DD7D42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DD7D42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CC955FE" w:rsidR="004F526B" w:rsidRPr="00907AA5" w:rsidRDefault="004F526B" w:rsidP="00DD7D42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DD7D42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DD7D42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DD7D42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2ECC1" w14:textId="77777777" w:rsidR="00A362B5" w:rsidRDefault="00A362B5" w:rsidP="001C7276">
      <w:r>
        <w:separator/>
      </w:r>
    </w:p>
  </w:endnote>
  <w:endnote w:type="continuationSeparator" w:id="0">
    <w:p w14:paraId="29CCB253" w14:textId="77777777" w:rsidR="00A362B5" w:rsidRDefault="00A362B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FCC5" w14:textId="77777777" w:rsidR="00A362B5" w:rsidRDefault="00A362B5" w:rsidP="001C7276">
      <w:r>
        <w:separator/>
      </w:r>
    </w:p>
  </w:footnote>
  <w:footnote w:type="continuationSeparator" w:id="0">
    <w:p w14:paraId="3695290B" w14:textId="77777777" w:rsidR="00A362B5" w:rsidRDefault="00A362B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D160C9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CEA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01F68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146DF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27AE2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3CEA"/>
    <w:rsid w:val="00A056BA"/>
    <w:rsid w:val="00A14D7D"/>
    <w:rsid w:val="00A15615"/>
    <w:rsid w:val="00A215E8"/>
    <w:rsid w:val="00A25FAD"/>
    <w:rsid w:val="00A32B32"/>
    <w:rsid w:val="00A362B5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27367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D7D42"/>
    <w:rsid w:val="00DE6152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25BC4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17</cp:revision>
  <cp:lastPrinted>2025-04-25T07:56:00Z</cp:lastPrinted>
  <dcterms:created xsi:type="dcterms:W3CDTF">2024-03-04T11:15:00Z</dcterms:created>
  <dcterms:modified xsi:type="dcterms:W3CDTF">2025-04-25T07:56:00Z</dcterms:modified>
</cp:coreProperties>
</file>