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5066665</wp:posOffset>
                </wp:positionH>
                <wp:positionV relativeFrom="paragraph">
                  <wp:posOffset>-685165</wp:posOffset>
                </wp:positionV>
                <wp:extent cx="1000760" cy="400685"/>
                <wp:effectExtent l="0" t="0" r="0" b="0"/>
                <wp:wrapNone/>
                <wp:docPr id="1" name="Фігура1"/>
                <a:graphic xmlns:a="http://schemas.openxmlformats.org/drawingml/2006/main">
                  <a:graphicData uri="http://schemas.microsoft.com/office/word/2010/wordprocessingShape">
                    <wps:wsp>
                      <wps:cNvSpPr txBox="1"/>
                      <wps:spPr>
                        <a:xfrm>
                          <a:off x="0" y="0"/>
                          <a:ext cx="1000080" cy="3999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98.95pt;margin-top:-53.95pt;width:78.7pt;height:31.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27.02.2019 р.</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67</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надання дозволу на продовження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терміну розміщення тимчасової споруди</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 вул. Чайкіної Лізи</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Балкової Поліни Василівни щодо продовження терміну розміщення тимчасової споруди – металевого гаража в районі житлового будинку №23 по вул. Чайкіної Лізи, керуючись ст. 30 Закону України «Про місцеве самоврядування в Україні», ст. 28 Закону України «Про регулювання містобудівної діяльності», на підставі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із змінами, внесеними згідно рішення 35 сесії 6 скликання міської ради №28                           від 26.11.2013 та рішення 8 сесії міської ради 7 скликання від 31.05.2016 №14, </w:t>
      </w:r>
      <w:r>
        <w:rPr>
          <w:rFonts w:cs="Times New Roman" w:ascii="Times New Roman" w:hAnsi="Times New Roman"/>
          <w:sz w:val="28"/>
          <w:szCs w:val="28"/>
          <w:lang w:val="uk-UA"/>
        </w:rPr>
        <w:t xml:space="preserve">Правил благоустрою на території міста Покров, затверджених рішенням </w:t>
      </w:r>
      <w:bookmarkStart w:id="0" w:name="_GoBack"/>
      <w:bookmarkEnd w:id="0"/>
      <w:r>
        <w:rPr>
          <w:rFonts w:cs="Times New Roman" w:ascii="Times New Roman" w:hAnsi="Times New Roman"/>
          <w:sz w:val="28"/>
          <w:szCs w:val="28"/>
          <w:lang w:val="uk-UA"/>
        </w:rPr>
        <w:t xml:space="preserve">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Балковій Поліні Василівні </w:t>
      </w:r>
      <w:r>
        <w:rPr>
          <w:rFonts w:cs="Times New Roman" w:ascii="Times New Roman" w:hAnsi="Times New Roman"/>
          <w:bCs/>
          <w:sz w:val="28"/>
          <w:szCs w:val="28"/>
          <w:lang w:val="uk-UA"/>
        </w:rPr>
        <w:t>термін розміщення тимчасової споруди – металевого гаража в районі житлового будинку №23 по                      вул. Чайкіної Лізи до 01.03.2021.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Балкову П.В.</w:t>
      </w:r>
      <w:r>
        <w:rPr>
          <w:rFonts w:cs="Times New Roman" w:ascii="Times New Roman" w:hAnsi="Times New Roman"/>
          <w:bCs/>
          <w:sz w:val="28"/>
          <w:szCs w:val="28"/>
          <w:lang w:val="uk-UA" w:eastAsia="ar-SA"/>
        </w:rPr>
        <w:t xml:space="preserve">, в термін до 10.03.2019,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Балкову П.В.</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LibreOffice/6.1.4.2$Windows_x86 LibreOffice_project/9d0f32d1f0b509096fd65e0d4bec26ddd1938fd3</Application>
  <Pages>2</Pages>
  <Words>277</Words>
  <Characters>1772</Characters>
  <CharactersWithSpaces>2174</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2019-02-07T13:39:00Z</dcterms:created>
  <dc:creator>digital_PC</dc:creator>
  <dc:description/>
  <dc:language>uk-UA</dc:language>
  <cp:lastModifiedBy/>
  <cp:lastPrinted>2019-02-15T07:48:00Z</cp:lastPrinted>
  <dcterms:modified xsi:type="dcterms:W3CDTF">2019-03-12T10:22:00Z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