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6"/>
          <w:szCs w:val="6"/>
        </w:rPr>
      </w:pPr>
      <w:r>
        <w:rPr>
          <w:b/>
          <w:bCs/>
          <w:sz w:val="6"/>
          <w:szCs w:val="6"/>
        </w:rPr>
        <w:drawing>
          <wp:anchor behindDoc="0" distT="0" distB="3175" distL="114935" distR="114935" simplePos="0" locked="0" layoutInCell="1" allowOverlap="1" relativeHeight="2">
            <wp:simplePos x="0" y="0"/>
            <wp:positionH relativeFrom="column">
              <wp:posOffset>2896235</wp:posOffset>
            </wp:positionH>
            <wp:positionV relativeFrom="paragraph">
              <wp:posOffset>-116840</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0" t="-11" r="-30" b="-11"/>
                    <a:stretch>
                      <a:fillRect/>
                    </a:stretch>
                  </pic:blipFill>
                  <pic:spPr bwMode="auto">
                    <a:xfrm>
                      <a:off x="0" y="0"/>
                      <a:ext cx="426085" cy="606425"/>
                    </a:xfrm>
                    <a:prstGeom prst="rect">
                      <a:avLst/>
                    </a:prstGeom>
                  </pic:spPr>
                </pic:pic>
              </a:graphicData>
            </a:graphic>
          </wp:anchor>
        </w:drawing>
      </w:r>
    </w:p>
    <w:p>
      <w:pPr>
        <w:pStyle w:val="Style16"/>
        <w:spacing w:before="0" w:after="0"/>
        <w:jc w:val="right"/>
        <w:rPr/>
      </w:pPr>
      <w:r>
        <w:rPr>
          <w:b/>
          <w:bCs/>
          <w:sz w:val="28"/>
          <w:szCs w:val="28"/>
        </w:rPr>
        <w:t>копія</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x-none" w:eastAsia="x-none"/>
        </w:rPr>
      </w:pPr>
      <w:r>
        <w:rPr>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60325</wp:posOffset>
                </wp:positionV>
                <wp:extent cx="6120130" cy="13970"/>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1964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45pt" to="483.1pt,5.15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1"/>
        <w:ind w:hanging="0"/>
        <w:jc w:val="left"/>
        <w:rPr/>
      </w:pPr>
      <w:r>
        <w:rPr>
          <w:sz w:val="28"/>
          <w:szCs w:val="28"/>
        </w:rPr>
        <w:t>29.03.2019</w:t>
        <w:tab/>
        <w:tab/>
        <w:tab/>
        <w:t xml:space="preserve">  </w:t>
      </w:r>
      <w:r>
        <w:rPr>
          <w:sz w:val="28"/>
          <w:szCs w:val="28"/>
        </w:rPr>
        <w:t xml:space="preserve">                     м.Покров                         </w:t>
        <w:tab/>
        <w:tab/>
        <w:t xml:space="preserve">      № </w:t>
      </w:r>
      <w:r>
        <w:rPr>
          <w:sz w:val="28"/>
          <w:szCs w:val="28"/>
        </w:rPr>
        <w:t>12</w:t>
      </w:r>
    </w:p>
    <w:p>
      <w:pPr>
        <w:pStyle w:val="Normal"/>
        <w:tabs>
          <w:tab w:val="left" w:pos="2360" w:leader="none"/>
        </w:tabs>
        <w:spacing w:lineRule="auto" w:line="240" w:before="0" w:after="0"/>
        <w:jc w:val="center"/>
        <w:rPr>
          <w:rFonts w:ascii="Times New Roman" w:hAnsi="Times New Roman"/>
          <w:sz w:val="26"/>
          <w:szCs w:val="26"/>
        </w:rPr>
      </w:pPr>
      <w:r>
        <w:rPr/>
      </w:r>
    </w:p>
    <w:p>
      <w:pPr>
        <w:pStyle w:val="Normal"/>
        <w:tabs>
          <w:tab w:val="left" w:pos="2360" w:leader="none"/>
        </w:tabs>
        <w:spacing w:lineRule="auto" w:line="240" w:before="0" w:after="0"/>
        <w:jc w:val="center"/>
        <w:rPr>
          <w:sz w:val="28"/>
          <w:szCs w:val="28"/>
        </w:rPr>
      </w:pPr>
      <w:bookmarkStart w:id="0" w:name="__DdeLink__7694_3519978329"/>
      <w:r>
        <w:rPr>
          <w:rFonts w:ascii="Times New Roman" w:hAnsi="Times New Roman"/>
          <w:sz w:val="28"/>
          <w:szCs w:val="28"/>
        </w:rPr>
        <w:t>(43 сесія 7 скликання)</w:t>
      </w:r>
    </w:p>
    <w:p>
      <w:pPr>
        <w:pStyle w:val="Normal"/>
        <w:tabs>
          <w:tab w:val="left" w:pos="2360" w:leader="none"/>
        </w:tabs>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Про встановлення податку на нерухоме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наповнення дохідної частини міського бюджету, враховуючи  зміни до Податкового кодексу України, керуючись пунктом 12.3 статті 12 Податкового кодексу України, підпунктом 24 пункту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Zakonu1"/>
        <w:tabs>
          <w:tab w:val="left" w:pos="900" w:leader="none"/>
        </w:tabs>
        <w:spacing w:lineRule="auto" w:line="240" w:before="0" w:after="0"/>
        <w:ind w:firstLine="720"/>
        <w:rPr>
          <w:sz w:val="28"/>
          <w:szCs w:val="28"/>
        </w:rPr>
      </w:pPr>
      <w:r>
        <w:rPr>
          <w:sz w:val="28"/>
          <w:szCs w:val="28"/>
        </w:rPr>
        <w:t xml:space="preserve">1. </w:t>
      </w:r>
      <w:r>
        <w:rPr>
          <w:sz w:val="28"/>
          <w:szCs w:val="28"/>
          <w:lang w:val="ru-RU"/>
        </w:rPr>
        <w:t>В</w:t>
      </w:r>
      <w:r>
        <w:rPr>
          <w:sz w:val="28"/>
          <w:szCs w:val="28"/>
        </w:rPr>
        <w:t>становити з 01 січня 2020 року на території Покровської міської ради Дніпропетровської області:</w:t>
      </w:r>
    </w:p>
    <w:p>
      <w:pPr>
        <w:pStyle w:val="StyleZakonu1"/>
        <w:numPr>
          <w:ilvl w:val="0"/>
          <w:numId w:val="1"/>
        </w:numPr>
        <w:tabs>
          <w:tab w:val="left" w:pos="0" w:leader="none"/>
        </w:tabs>
        <w:spacing w:lineRule="auto" w:line="240" w:before="0" w:after="0"/>
        <w:ind w:left="0" w:firstLine="720"/>
        <w:rPr>
          <w:sz w:val="28"/>
          <w:szCs w:val="28"/>
        </w:rPr>
      </w:pPr>
      <w:r>
        <w:rPr>
          <w:sz w:val="28"/>
          <w:szCs w:val="28"/>
        </w:rPr>
        <w:t>ставки податку на нерухоме майно, відмінне від земельної ділянки, згідно з додатком 1;</w:t>
      </w:r>
    </w:p>
    <w:p>
      <w:pPr>
        <w:pStyle w:val="StyleZakonu1"/>
        <w:numPr>
          <w:ilvl w:val="0"/>
          <w:numId w:val="1"/>
        </w:numPr>
        <w:tabs>
          <w:tab w:val="left" w:pos="0" w:leader="none"/>
        </w:tabs>
        <w:spacing w:lineRule="auto" w:line="240" w:before="0" w:after="0"/>
        <w:ind w:left="0" w:firstLine="720"/>
        <w:rPr>
          <w:sz w:val="28"/>
          <w:szCs w:val="28"/>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rFonts w:ascii="Times New Roman" w:hAnsi="Times New Roman"/>
          <w:sz w:val="28"/>
          <w:szCs w:val="28"/>
        </w:rPr>
      </w:pPr>
      <w:r>
        <w:rPr>
          <w:rFonts w:ascii="Times New Roman" w:hAnsi="Times New Roman"/>
          <w:sz w:val="28"/>
          <w:szCs w:val="28"/>
        </w:rPr>
        <w:t>2. Визначити, що:</w:t>
      </w:r>
    </w:p>
    <w:p>
      <w:pPr>
        <w:pStyle w:val="Normal"/>
        <w:spacing w:lineRule="auto" w:line="240" w:before="0" w:after="0"/>
        <w:ind w:firstLine="708"/>
        <w:jc w:val="both"/>
        <w:rPr/>
      </w:pPr>
      <w:r>
        <w:rPr>
          <w:rFonts w:ascii="Times New Roman" w:hAnsi="Times New Roman"/>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rFonts w:ascii="Times New Roman" w:hAnsi="Times New Roman"/>
          <w:sz w:val="28"/>
          <w:szCs w:val="28"/>
          <w:vertAlign w:val="superscript"/>
        </w:rPr>
        <w:t>1</w:t>
      </w:r>
      <w:r>
        <w:rPr>
          <w:rFonts w:ascii="Times New Roman" w:hAnsi="Times New Roman"/>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2.2 платниками податку на нерухомість є фізичні та юридичні особи, в тому числі нерезиденти, які є власниками об’єктів </w:t>
      </w:r>
      <w:r>
        <w:rPr>
          <w:rFonts w:ascii="Times New Roman" w:hAnsi="Times New Roman"/>
          <w:sz w:val="28"/>
          <w:szCs w:val="28"/>
          <w:lang w:eastAsia="uk-UA"/>
        </w:rPr>
        <w:t>нерухомості</w:t>
      </w:r>
      <w:r>
        <w:rPr>
          <w:rFonts w:ascii="Times New Roman" w:hAnsi="Times New Roman"/>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rFonts w:ascii="Times New Roman" w:hAnsi="Times New Roman"/>
          <w:sz w:val="28"/>
          <w:szCs w:val="28"/>
        </w:rPr>
      </w:pPr>
      <w:bookmarkStart w:id="1" w:name="__DdeLink__7694_3519978329"/>
      <w:bookmarkEnd w:id="1"/>
      <w:r>
        <w:rPr>
          <w:rFonts w:ascii="Times New Roman" w:hAnsi="Times New Roman"/>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rFonts w:ascii="Times New Roman" w:hAnsi="Times New Roman"/>
          <w:sz w:val="28"/>
          <w:szCs w:val="28"/>
        </w:rPr>
      </w:pPr>
      <w:r>
        <w:rPr>
          <w:rFonts w:ascii="Times New Roman" w:hAnsi="Times New Roman"/>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2.4 податок сплачується до міського бюджету у разі розташування об’єкта/об’єктів оподаткування на території м. Покров. </w:t>
      </w:r>
    </w:p>
    <w:p>
      <w:pPr>
        <w:pStyle w:val="StyleZakonu1"/>
        <w:spacing w:lineRule="auto" w:line="240" w:before="0" w:after="0"/>
        <w:ind w:firstLine="708"/>
        <w:rPr>
          <w:sz w:val="28"/>
          <w:szCs w:val="2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1"/>
        <w:spacing w:lineRule="auto" w:line="240" w:before="0" w:after="0"/>
        <w:ind w:firstLine="708"/>
        <w:rPr>
          <w:sz w:val="28"/>
          <w:szCs w:val="2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1"/>
        <w:spacing w:lineRule="auto" w:line="240" w:before="0" w:after="0"/>
        <w:ind w:firstLine="708"/>
        <w:rPr>
          <w:sz w:val="28"/>
          <w:szCs w:val="2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6. Рішення набирає чинності з 01 січня 2020 року.</w:t>
      </w:r>
    </w:p>
    <w:p>
      <w:pPr>
        <w:pStyle w:val="StyleZakonu1"/>
        <w:spacing w:lineRule="auto" w:line="240" w:before="0" w:after="0"/>
        <w:ind w:firstLine="708"/>
        <w:rPr>
          <w:sz w:val="28"/>
          <w:szCs w:val="28"/>
        </w:rPr>
      </w:pPr>
      <w:r>
        <w:rPr>
          <w:sz w:val="28"/>
          <w:szCs w:val="28"/>
          <w:lang w:val="ru-RU"/>
        </w:rPr>
        <w:t>7</w:t>
      </w:r>
      <w:r>
        <w:rPr>
          <w:sz w:val="28"/>
          <w:szCs w:val="28"/>
        </w:rPr>
        <w:t>. Вважати такими, що припиняють дію з 01</w:t>
      </w:r>
      <w:r>
        <w:rPr>
          <w:sz w:val="28"/>
          <w:szCs w:val="28"/>
          <w:lang w:val="ru-RU"/>
        </w:rPr>
        <w:t xml:space="preserve"> </w:t>
      </w:r>
      <w:r>
        <w:rPr>
          <w:sz w:val="28"/>
          <w:szCs w:val="28"/>
        </w:rPr>
        <w:t>січня 2020</w:t>
      </w:r>
      <w:r>
        <w:rPr>
          <w:sz w:val="28"/>
          <w:szCs w:val="28"/>
          <w:lang w:val="ru-RU"/>
        </w:rPr>
        <w:t xml:space="preserve"> </w:t>
      </w:r>
      <w:r>
        <w:rPr>
          <w:sz w:val="28"/>
          <w:szCs w:val="28"/>
        </w:rPr>
        <w:t>року наступні рішення міської ради:</w:t>
      </w:r>
    </w:p>
    <w:p>
      <w:pPr>
        <w:pStyle w:val="StyleZakonu1"/>
        <w:spacing w:lineRule="auto" w:line="240" w:before="0" w:after="0"/>
        <w:ind w:firstLine="708"/>
        <w:rPr/>
      </w:pPr>
      <w:r>
        <w:rPr>
          <w:sz w:val="28"/>
          <w:szCs w:val="28"/>
        </w:rPr>
        <w:t xml:space="preserve">- 34 сесії 7 скликання від 22.06.2018 № </w:t>
      </w:r>
      <w:r>
        <w:rPr>
          <w:sz w:val="28"/>
          <w:szCs w:val="28"/>
          <w:lang w:val="ru-RU"/>
        </w:rPr>
        <w:t>7</w:t>
      </w:r>
      <w:r>
        <w:rPr>
          <w:sz w:val="28"/>
          <w:szCs w:val="28"/>
        </w:rPr>
        <w:t xml:space="preserve"> «Про встановлення податку на нерухоме майно, відмінне від земельної ділянки»;</w:t>
      </w:r>
    </w:p>
    <w:p>
      <w:pPr>
        <w:pStyle w:val="StyleZakonu1"/>
        <w:spacing w:lineRule="auto" w:line="240" w:before="0" w:after="0"/>
        <w:ind w:firstLine="708"/>
        <w:rPr>
          <w:sz w:val="28"/>
          <w:szCs w:val="28"/>
        </w:rPr>
      </w:pPr>
      <w:r>
        <w:rPr>
          <w:sz w:val="28"/>
          <w:szCs w:val="28"/>
        </w:rPr>
        <w:t>- ІІ пленарне засідання 40 сесії 7 скликання від 28.12.2018 № 33 «Про внесення змін до рішення 34 сесії міської ради 7 скликання від 22.06.2018 № 7 Про встановлення податку на нерухоме майно, відмінне від земельної ділянки»;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8. Контроль за виконанням цього рішення покласти на заступника міського голови Чистякова О.Г. та на </w:t>
      </w:r>
      <w:r>
        <w:rPr>
          <w:rFonts w:ascii="Times New Roman" w:hAnsi="Times New Roman"/>
          <w:color w:val="000000"/>
          <w:sz w:val="28"/>
          <w:szCs w:val="28"/>
        </w:rPr>
        <w:t xml:space="preserve">постійну депутатську комісію з питань планування, </w:t>
      </w:r>
      <w:r>
        <w:rPr>
          <w:rFonts w:ascii="Times New Roman" w:hAnsi="Times New Roman"/>
          <w:sz w:val="28"/>
          <w:szCs w:val="28"/>
        </w:rPr>
        <w:t>бюджету,</w:t>
      </w:r>
      <w:r>
        <w:rPr>
          <w:rFonts w:ascii="Times New Roman" w:hAnsi="Times New Roman"/>
          <w:color w:val="000000"/>
          <w:sz w:val="28"/>
          <w:szCs w:val="28"/>
        </w:rPr>
        <w:t xml:space="preserve"> фінансів,</w:t>
      </w:r>
      <w:r>
        <w:rPr>
          <w:rFonts w:ascii="Times New Roman" w:hAnsi="Times New Roman"/>
          <w:sz w:val="28"/>
          <w:szCs w:val="28"/>
        </w:rPr>
        <w:t xml:space="preserve"> економічного розвитку, </w:t>
      </w:r>
      <w:r>
        <w:rPr>
          <w:rFonts w:ascii="Times New Roman" w:hAnsi="Times New Roman"/>
          <w:color w:val="000000"/>
          <w:sz w:val="28"/>
          <w:szCs w:val="28"/>
        </w:rPr>
        <w:t>регуляторної політики та підприємництва (Травка В.І.).</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pPr>
      <w:r>
        <w:rPr>
          <w:rFonts w:ascii="Times New Roman" w:hAnsi="Times New Roman"/>
          <w:sz w:val="24"/>
          <w:szCs w:val="24"/>
        </w:rPr>
        <w:t xml:space="preserve">Лінська Н.В., </w:t>
      </w:r>
      <w:r>
        <w:rPr>
          <w:rFonts w:ascii="Times New Roman" w:hAnsi="Times New Roman"/>
          <w:sz w:val="24"/>
          <w:szCs w:val="24"/>
        </w:rPr>
        <w:t>42244</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sectPr>
          <w:type w:val="nextPage"/>
          <w:pgSz w:w="11906" w:h="16838"/>
          <w:pgMar w:left="1418" w:right="707" w:header="0" w:top="540" w:footer="0" w:bottom="851" w:gutter="0"/>
          <w:pgNumType w:fmt="upperLetter"/>
          <w:formProt w:val="false"/>
          <w:textDirection w:val="lrTb"/>
          <w:docGrid w:type="default" w:linePitch="360" w:charSpace="0"/>
        </w:sect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ind w:hanging="0"/>
        <w:rPr/>
      </w:pPr>
      <w:r>
        <w:rPr>
          <w:rFonts w:ascii="Times New Roman" w:hAnsi="Times New Roman"/>
          <w:sz w:val="24"/>
          <w:szCs w:val="24"/>
        </w:rPr>
        <w:tab/>
        <w:tab/>
        <w:tab/>
        <w:tab/>
        <w:tab/>
        <w:tab/>
        <w:tab/>
        <w:tab/>
        <w:tab/>
        <w:tab/>
        <w:tab/>
        <w:tab/>
        <w:tab/>
        <w:tab/>
        <w:tab/>
        <w:tab/>
        <w:tab/>
        <w:tab/>
        <w:t xml:space="preserve">Додаток </w:t>
      </w:r>
      <w:r>
        <w:rPr>
          <w:rFonts w:ascii="Times New Roman" w:hAnsi="Times New Roman"/>
          <w:sz w:val="24"/>
          <w:szCs w:val="24"/>
          <w:lang w:val="ru-RU"/>
        </w:rPr>
        <w:t>1</w:t>
      </w:r>
    </w:p>
    <w:p>
      <w:pPr>
        <w:pStyle w:val="Normal"/>
        <w:widowControl/>
        <w:suppressAutoHyphens w:val="true"/>
        <w:bidi w:val="0"/>
        <w:spacing w:lineRule="auto" w:line="240" w:before="0" w:after="0"/>
        <w:ind w:right="0" w:hanging="0"/>
        <w:jc w:val="left"/>
        <w:rPr/>
      </w:pPr>
      <w:r>
        <w:rPr>
          <w:rFonts w:ascii="Times New Roman" w:hAnsi="Times New Roman"/>
          <w:sz w:val="24"/>
          <w:szCs w:val="24"/>
        </w:rPr>
        <w:tab/>
        <w:tab/>
        <w:tab/>
        <w:tab/>
        <w:tab/>
        <w:tab/>
        <w:tab/>
        <w:tab/>
        <w:tab/>
        <w:tab/>
        <w:tab/>
        <w:tab/>
        <w:tab/>
        <w:tab/>
        <w:tab/>
        <w:tab/>
        <w:t xml:space="preserve">до рішення </w:t>
      </w:r>
      <w:r>
        <w:rPr>
          <w:rFonts w:ascii="Times New Roman" w:hAnsi="Times New Roman"/>
          <w:sz w:val="24"/>
          <w:szCs w:val="24"/>
          <w:lang w:val="ru-RU"/>
        </w:rPr>
        <w:t>43</w:t>
      </w:r>
      <w:r>
        <w:rPr>
          <w:rFonts w:ascii="Times New Roman" w:hAnsi="Times New Roman"/>
          <w:sz w:val="24"/>
          <w:szCs w:val="24"/>
        </w:rPr>
        <w:t xml:space="preserve"> сесії 7 скликання</w:t>
      </w:r>
    </w:p>
    <w:p>
      <w:pPr>
        <w:pStyle w:val="Normal"/>
        <w:widowControl/>
        <w:suppressAutoHyphens w:val="true"/>
        <w:bidi w:val="0"/>
        <w:spacing w:lineRule="auto" w:line="216" w:before="0" w:after="113"/>
        <w:ind w:right="0" w:hanging="0"/>
        <w:jc w:val="left"/>
        <w:rPr/>
      </w:pPr>
      <w:r>
        <w:rPr>
          <w:rFonts w:ascii="Times New Roman" w:hAnsi="Times New Roman"/>
          <w:sz w:val="26"/>
          <w:szCs w:val="26"/>
        </w:rPr>
        <w:tab/>
        <w:tab/>
      </w:r>
      <w:r>
        <w:rPr>
          <w:rFonts w:ascii="Times New Roman" w:hAnsi="Times New Roman"/>
          <w:sz w:val="24"/>
          <w:szCs w:val="24"/>
        </w:rPr>
        <w:tab/>
        <w:tab/>
        <w:tab/>
        <w:tab/>
        <w:tab/>
        <w:tab/>
        <w:tab/>
        <w:tab/>
        <w:tab/>
        <w:tab/>
        <w:tab/>
        <w:tab/>
        <w:tab/>
        <w:tab/>
      </w:r>
      <w:r>
        <w:rPr>
          <w:rFonts w:ascii="Times New Roman" w:hAnsi="Times New Roman"/>
          <w:sz w:val="24"/>
          <w:szCs w:val="24"/>
        </w:rPr>
        <w:t xml:space="preserve">29.03.2019    </w:t>
      </w:r>
      <w:r>
        <w:rPr>
          <w:rFonts w:ascii="Times New Roman" w:hAnsi="Times New Roman"/>
          <w:sz w:val="24"/>
          <w:szCs w:val="24"/>
        </w:rPr>
        <w:t xml:space="preserve"> №  </w:t>
      </w:r>
      <w:r>
        <w:rPr>
          <w:rFonts w:ascii="Times New Roman" w:hAnsi="Times New Roman"/>
          <w:sz w:val="24"/>
          <w:szCs w:val="24"/>
        </w:rPr>
        <w:t>12</w:t>
      </w:r>
    </w:p>
    <w:p>
      <w:pPr>
        <w:pStyle w:val="Style25"/>
        <w:spacing w:lineRule="auto" w:line="216" w:before="0" w:after="113"/>
        <w:rPr>
          <w:rFonts w:ascii="Times New Roman" w:hAnsi="Times New Roman" w:cs="Times New Roman"/>
          <w:szCs w:val="26"/>
        </w:rPr>
      </w:pPr>
      <w:r>
        <w:rPr>
          <w:rFonts w:cs="Times New Roman" w:ascii="Times New Roman" w:hAnsi="Times New Roman"/>
          <w:sz w:val="24"/>
          <w:szCs w:val="24"/>
          <w:lang w:val="ru-RU" w:eastAsia="ru-RU"/>
        </w:rPr>
        <w:t>СТАВКИ</w:t>
      </w:r>
      <w:r>
        <w:rPr>
          <w:rFonts w:cs="Times New Roman" w:ascii="Times New Roman" w:hAnsi="Times New Roman"/>
          <w:sz w:val="24"/>
          <w:szCs w:val="24"/>
          <w:vertAlign w:val="superscript"/>
          <w:lang w:val="ru-RU" w:eastAsia="ru-RU"/>
        </w:rPr>
        <w:br/>
      </w:r>
      <w:r>
        <w:rPr>
          <w:rFonts w:cs="Times New Roman" w:ascii="Times New Roman" w:hAnsi="Times New Roman"/>
          <w:sz w:val="24"/>
          <w:szCs w:val="24"/>
          <w:lang w:val="ru-RU" w:eastAsia="ru-RU"/>
        </w:rPr>
        <w:t>податку на нерухоме майно, відмінне від земельної ділянки</w:t>
      </w:r>
      <w:r>
        <w:rPr>
          <w:rFonts w:cs="Times New Roman" w:ascii="Times New Roman" w:hAnsi="Times New Roman"/>
          <w:sz w:val="24"/>
          <w:szCs w:val="24"/>
        </w:rPr>
        <w:t xml:space="preserve"> для об’єктів нерухомості </w:t>
      </w:r>
      <w:r>
        <w:rPr>
          <w:rFonts w:cs="Times New Roman" w:ascii="Times New Roman" w:hAnsi="Times New Roman"/>
          <w:sz w:val="24"/>
          <w:szCs w:val="24"/>
          <w:vertAlign w:val="superscript"/>
          <w:lang w:val="ru-RU" w:eastAsia="ru-RU"/>
        </w:rPr>
        <w:t>1</w:t>
      </w:r>
    </w:p>
    <w:p>
      <w:pPr>
        <w:pStyle w:val="Style24"/>
        <w:spacing w:lineRule="auto" w:line="216" w:before="0" w:after="113"/>
        <w:jc w:val="both"/>
        <w:rPr>
          <w:rFonts w:ascii="Times New Roman" w:hAnsi="Times New Roman" w:cs="Times New Roman"/>
          <w:szCs w:val="26"/>
        </w:rPr>
      </w:pPr>
      <w:r>
        <w:rPr>
          <w:rFonts w:cs="Times New Roman" w:ascii="Times New Roman" w:hAnsi="Times New Roman"/>
          <w:sz w:val="24"/>
          <w:szCs w:val="24"/>
          <w:lang w:val="ru-RU" w:eastAsia="ru-RU"/>
        </w:rPr>
        <w:t>Ставки вводяться в дію з 01 січня 2020 року.</w:t>
      </w:r>
    </w:p>
    <w:p>
      <w:pPr>
        <w:pStyle w:val="Style24"/>
        <w:spacing w:lineRule="auto" w:line="216" w:before="0" w:after="113"/>
        <w:jc w:val="both"/>
        <w:rPr>
          <w:rFonts w:ascii="Times New Roman" w:hAnsi="Times New Roman" w:cs="Times New Roman"/>
          <w:szCs w:val="26"/>
        </w:rPr>
      </w:pPr>
      <w:r>
        <w:rPr>
          <w:rFonts w:cs="Times New Roman" w:ascii="Times New Roman" w:hAnsi="Times New Roman"/>
          <w:sz w:val="24"/>
          <w:szCs w:val="24"/>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46" w:type="dxa"/>
        <w:jc w:val="left"/>
        <w:tblInd w:w="2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1799"/>
        <w:gridCol w:w="1800"/>
        <w:gridCol w:w="2339"/>
        <w:gridCol w:w="9107"/>
      </w:tblGrid>
      <w:tr>
        <w:trPr/>
        <w:tc>
          <w:tcPr>
            <w:tcW w:w="179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області</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району</w:t>
            </w:r>
          </w:p>
        </w:tc>
        <w:tc>
          <w:tcPr>
            <w:tcW w:w="233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en-US" w:eastAsia="ru-RU"/>
              </w:rPr>
              <w:t>Код згідно з КОАТУУ</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09</w:t>
            </w:r>
          </w:p>
        </w:tc>
        <w:tc>
          <w:tcPr>
            <w:tcW w:w="233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1212100000</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ru-RU" w:eastAsia="ru-RU"/>
              </w:rPr>
              <w:t>м. Покров Дніпропетровської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1222987001</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ru-RU"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1222987002</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ru-RU" w:eastAsia="ru-RU"/>
              </w:rPr>
              <w:t>с.Миронівка</w:t>
            </w:r>
            <w:r>
              <w:rPr>
                <w:rFonts w:cs="Times New Roman" w:ascii="Times New Roman" w:hAnsi="Times New Roman"/>
                <w:sz w:val="24"/>
                <w:szCs w:val="24"/>
                <w:lang w:eastAsia="ru-RU"/>
              </w:rPr>
              <w:t xml:space="preserve"> Дніпроетровської обл.</w:t>
            </w:r>
          </w:p>
        </w:tc>
      </w:tr>
      <w:tr>
        <w:trPr/>
        <w:tc>
          <w:tcPr>
            <w:tcW w:w="179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04</w:t>
            </w:r>
          </w:p>
        </w:tc>
        <w:tc>
          <w:tcPr>
            <w:tcW w:w="180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22</w:t>
            </w:r>
          </w:p>
        </w:tc>
        <w:tc>
          <w:tcPr>
            <w:tcW w:w="2339"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eastAsia="ru-RU"/>
              </w:rPr>
              <w:t>1222987003</w:t>
            </w:r>
          </w:p>
        </w:tc>
        <w:tc>
          <w:tcPr>
            <w:tcW w:w="91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ru-RU" w:eastAsia="ru-RU"/>
              </w:rPr>
              <w:t>с.Улянівка Дніпропетровської обл</w:t>
            </w:r>
          </w:p>
        </w:tc>
      </w:tr>
    </w:tbl>
    <w:p>
      <w:pPr>
        <w:pStyle w:val="Normal"/>
        <w:widowControl w:val="false"/>
        <w:spacing w:lineRule="auto" w:line="216" w:before="0" w:after="113"/>
        <w:rPr>
          <w:rFonts w:ascii="Times New Roman" w:hAnsi="Times New Roman"/>
          <w:sz w:val="12"/>
          <w:szCs w:val="12"/>
          <w:lang w:eastAsia="ru-RU"/>
        </w:rPr>
      </w:pPr>
      <w:r>
        <w:rPr>
          <w:rFonts w:ascii="Times New Roman" w:hAnsi="Times New Roman"/>
          <w:sz w:val="12"/>
          <w:szCs w:val="12"/>
          <w:lang w:eastAsia="ru-RU"/>
        </w:rPr>
      </w:r>
    </w:p>
    <w:tbl>
      <w:tblPr>
        <w:tblW w:w="15046" w:type="dxa"/>
        <w:jc w:val="left"/>
        <w:tblInd w:w="145" w:type="dxa"/>
        <w:tblBorders>
          <w:top w:val="single" w:sz="4" w:space="0" w:color="000001"/>
          <w:left w:val="single" w:sz="4" w:space="0" w:color="000001"/>
          <w:bottom w:val="single" w:sz="4" w:space="0" w:color="000001"/>
          <w:insideH w:val="single" w:sz="4" w:space="0" w:color="000001"/>
        </w:tblBorders>
        <w:tblCellMar>
          <w:top w:w="0" w:type="dxa"/>
          <w:left w:w="8" w:type="dxa"/>
          <w:bottom w:w="0" w:type="dxa"/>
          <w:right w:w="28" w:type="dxa"/>
        </w:tblCellMar>
        <w:tblLook w:firstRow="0" w:noVBand="0" w:lastRow="0" w:firstColumn="0" w:lastColumn="0" w:noHBand="0" w:val="0000"/>
      </w:tblPr>
      <w:tblGrid>
        <w:gridCol w:w="1092"/>
        <w:gridCol w:w="7551"/>
        <w:gridCol w:w="3"/>
        <w:gridCol w:w="12"/>
        <w:gridCol w:w="1055"/>
        <w:gridCol w:w="84"/>
        <w:gridCol w:w="986"/>
        <w:gridCol w:w="12"/>
        <w:gridCol w:w="72"/>
        <w:gridCol w:w="956"/>
        <w:gridCol w:w="69"/>
        <w:gridCol w:w="1"/>
        <w:gridCol w:w="8"/>
        <w:gridCol w:w="1109"/>
        <w:gridCol w:w="90"/>
        <w:gridCol w:w="910"/>
        <w:gridCol w:w="12"/>
        <w:gridCol w:w="1022"/>
      </w:tblGrid>
      <w:tr>
        <w:trPr>
          <w:tblHeader w:val="true"/>
          <w:trHeight w:val="23" w:hRule="atLeast"/>
        </w:trPr>
        <w:tc>
          <w:tcPr>
            <w:tcW w:w="864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Класифікація будівель та споруд</w:t>
            </w:r>
            <w:r>
              <w:rPr>
                <w:rFonts w:cs="Times New Roman" w:ascii="Times New Roman" w:hAnsi="Times New Roman"/>
                <w:sz w:val="24"/>
                <w:szCs w:val="24"/>
                <w:vertAlign w:val="superscript"/>
                <w:lang w:val="en-US" w:eastAsia="ru-RU"/>
              </w:rPr>
              <w:t>2</w:t>
            </w:r>
          </w:p>
        </w:tc>
        <w:tc>
          <w:tcPr>
            <w:tcW w:w="6398" w:type="dxa"/>
            <w:gridSpan w:val="1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Ставки податку</w:t>
            </w:r>
            <w:r>
              <w:rPr>
                <w:rFonts w:cs="Times New Roman" w:ascii="Times New Roman" w:hAnsi="Times New Roman"/>
                <w:sz w:val="24"/>
                <w:szCs w:val="24"/>
                <w:vertAlign w:val="superscript"/>
                <w:lang w:val="ru-RU" w:eastAsia="ru-RU"/>
              </w:rPr>
              <w:t>3</w:t>
            </w:r>
            <w:r>
              <w:rPr>
                <w:rFonts w:cs="Times New Roman" w:ascii="Times New Roman" w:hAnsi="Times New Roman"/>
                <w:sz w:val="24"/>
                <w:szCs w:val="24"/>
                <w:lang w:val="ru-RU" w:eastAsia="ru-RU"/>
              </w:rPr>
              <w:t xml:space="preserve"> за 1 кв. метр</w:t>
              <w:br/>
              <w:t>(відсотків розміру мінімальної заробітної плати)</w:t>
            </w:r>
          </w:p>
        </w:tc>
      </w:tr>
      <w:tr>
        <w:trPr>
          <w:tblHeader w:val="true"/>
          <w:trHeight w:val="23" w:hRule="atLeast"/>
        </w:trPr>
        <w:tc>
          <w:tcPr>
            <w:tcW w:w="1092" w:type="dxa"/>
            <w:vMerge w:val="restart"/>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код</w:t>
            </w:r>
            <w:r>
              <w:rPr>
                <w:rFonts w:cs="Times New Roman" w:ascii="Times New Roman" w:hAnsi="Times New Roman"/>
                <w:sz w:val="24"/>
                <w:szCs w:val="24"/>
                <w:vertAlign w:val="superscript"/>
                <w:lang w:val="en-US" w:eastAsia="ru-RU"/>
              </w:rPr>
              <w:t>2</w:t>
            </w:r>
          </w:p>
        </w:tc>
        <w:tc>
          <w:tcPr>
            <w:tcW w:w="7551" w:type="dxa"/>
            <w:vMerge w:val="restart"/>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найменування</w:t>
            </w:r>
            <w:r>
              <w:rPr>
                <w:rFonts w:cs="Times New Roman" w:ascii="Times New Roman" w:hAnsi="Times New Roman"/>
                <w:sz w:val="24"/>
                <w:szCs w:val="24"/>
                <w:vertAlign w:val="superscript"/>
                <w:lang w:val="en-US" w:eastAsia="ru-RU"/>
              </w:rPr>
              <w:t>2</w:t>
            </w:r>
          </w:p>
        </w:tc>
        <w:tc>
          <w:tcPr>
            <w:tcW w:w="3250" w:type="dxa"/>
            <w:gridSpan w:val="10"/>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для юридичних осіб</w:t>
            </w:r>
          </w:p>
        </w:tc>
        <w:tc>
          <w:tcPr>
            <w:tcW w:w="3151"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для фізичних осіб</w:t>
            </w:r>
          </w:p>
        </w:tc>
      </w:tr>
      <w:tr>
        <w:trPr>
          <w:tblHeader w:val="true"/>
          <w:trHeight w:val="23" w:hRule="atLeast"/>
        </w:trPr>
        <w:tc>
          <w:tcPr>
            <w:tcW w:w="1092" w:type="dxa"/>
            <w:vMerge w:val="continue"/>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napToGrid w:val="false"/>
              <w:spacing w:lineRule="auto" w:line="216" w:before="0" w:after="113"/>
              <w:ind w:hanging="0"/>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tc>
        <w:tc>
          <w:tcPr>
            <w:tcW w:w="7551" w:type="dxa"/>
            <w:vMerge w:val="continue"/>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napToGrid w:val="false"/>
              <w:spacing w:lineRule="auto" w:line="216" w:before="0" w:after="113"/>
              <w:ind w:hanging="0"/>
              <w:rPr>
                <w:rFonts w:ascii="Times New Roman" w:hAnsi="Times New Roman" w:cs="Times New Roman"/>
                <w:sz w:val="24"/>
                <w:szCs w:val="24"/>
                <w:lang w:val="en-US" w:eastAsia="ru-RU"/>
              </w:rPr>
            </w:pPr>
            <w:r>
              <w:rPr>
                <w:rFonts w:cs="Times New Roman" w:ascii="Times New Roman" w:hAnsi="Times New Roman"/>
                <w:sz w:val="24"/>
                <w:szCs w:val="24"/>
                <w:lang w:val="en-US" w:eastAsia="ru-RU"/>
              </w:rPr>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1 зона</w:t>
            </w:r>
            <w:r>
              <w:rPr>
                <w:rFonts w:cs="Times New Roman" w:ascii="Times New Roman" w:hAnsi="Times New Roman"/>
                <w:sz w:val="24"/>
                <w:szCs w:val="24"/>
                <w:vertAlign w:val="superscript"/>
                <w:lang w:val="en-US" w:eastAsia="ru-RU"/>
              </w:rPr>
              <w:t>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2 зона</w:t>
            </w:r>
            <w:r>
              <w:rPr>
                <w:rFonts w:cs="Times New Roman" w:ascii="Times New Roman" w:hAnsi="Times New Roman"/>
                <w:sz w:val="24"/>
                <w:szCs w:val="24"/>
                <w:vertAlign w:val="superscript"/>
                <w:lang w:val="en-US" w:eastAsia="ru-RU"/>
              </w:rPr>
              <w:t>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3 зона</w:t>
            </w:r>
            <w:r>
              <w:rPr>
                <w:rFonts w:cs="Times New Roman" w:ascii="Times New Roman" w:hAnsi="Times New Roman"/>
                <w:sz w:val="24"/>
                <w:szCs w:val="24"/>
                <w:vertAlign w:val="superscript"/>
                <w:lang w:val="en-US" w:eastAsia="ru-RU"/>
              </w:rPr>
              <w:t>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1 зона</w:t>
            </w:r>
            <w:r>
              <w:rPr>
                <w:rFonts w:cs="Times New Roman" w:ascii="Times New Roman" w:hAnsi="Times New Roman"/>
                <w:sz w:val="24"/>
                <w:szCs w:val="24"/>
                <w:vertAlign w:val="superscript"/>
                <w:lang w:val="en-US" w:eastAsia="ru-RU"/>
              </w:rPr>
              <w:t>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2 зона</w:t>
            </w:r>
            <w:r>
              <w:rPr>
                <w:rFonts w:cs="Times New Roman" w:ascii="Times New Roman" w:hAnsi="Times New Roman"/>
                <w:sz w:val="24"/>
                <w:szCs w:val="24"/>
                <w:vertAlign w:val="superscript"/>
                <w:lang w:val="en-US" w:eastAsia="ru-RU"/>
              </w:rPr>
              <w:t>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3 зона</w:t>
            </w:r>
            <w:r>
              <w:rPr>
                <w:rFonts w:cs="Times New Roman" w:ascii="Times New Roman" w:hAnsi="Times New Roman"/>
                <w:sz w:val="24"/>
                <w:szCs w:val="24"/>
                <w:vertAlign w:val="superscript"/>
                <w:lang w:val="en-US" w:eastAsia="ru-RU"/>
              </w:rPr>
              <w:t>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Будівлі житлові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111</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Будинки одноквартирні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1110</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en-US" w:eastAsia="ru-RU"/>
              </w:rPr>
              <w:t>Будинки одноквартирні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одноквартирні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56"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Котеджі та будинки одноквартирні підвищеної комфортності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56"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садибного типу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956"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1110.4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дачні та садові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956"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c>
          <w:tcPr>
            <w:tcW w:w="1277"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0,96</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Будинки з двома та більше квартирами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Будинки з двома квартирами</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двоквартирні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1121.2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Котеджі та будинки двоквартирні підвищеної комфортності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Будинки з трьома та більше квартирами</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багатоквартирні масової забудови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Будинки багатоквартирні підвищеної комфортності, індивідуальні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1122.3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Будинки житлові готельного типу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1,5</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1,2</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Гуртожитки</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1130.1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робітників та службовців</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1130.2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студентів вищих навчальних закладів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1130.3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Гуртожитки для учнів навчальних закладів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1130.4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Будинки-інтернати для людей похилого віку та інвалідів</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1130.5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 дитини та сирітські будинки</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1130.6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Будинки для біженців, притулки для бездомних</w:t>
            </w:r>
            <w:r>
              <w:rPr>
                <w:rFonts w:cs="Times New Roman" w:ascii="Times New Roman" w:hAnsi="Times New Roman"/>
                <w:sz w:val="24"/>
                <w:szCs w:val="24"/>
                <w:vertAlign w:val="superscript"/>
                <w:lang w:val="ru-RU" w:eastAsia="ru-RU"/>
              </w:rPr>
              <w:t>5</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1130.9 </w:t>
            </w:r>
          </w:p>
        </w:tc>
        <w:tc>
          <w:tcPr>
            <w:tcW w:w="7566"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Будинки для колективного проживання інші </w:t>
            </w:r>
          </w:p>
        </w:tc>
        <w:tc>
          <w:tcPr>
            <w:tcW w:w="113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998"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06" w:type="dxa"/>
            <w:gridSpan w:val="5"/>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199"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922"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c>
          <w:tcPr>
            <w:tcW w:w="10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нежитлові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Готелі, ресторани та подібні будівлі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готельні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Готелі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Мотелі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Кемпінги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Пансіонати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1211.5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Ресторани та бари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Інші будівлі для тимчасового проживання</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Туристичні бази та гірські притулки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Дитячі та сімейні табори відпочинку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Центри та будинки відпочинку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1212.9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Інші будівлі для тимчасового проживання, не класифіковані раніше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122</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офісні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офісні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органів державного та місцевого управління</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фінансового обслуговування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органів правосуддя</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закордонних представництв</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Адміністративно-побутові будівлі промислових підприємств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1220.9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для конторських та адміністративних цілей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торговельні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Торгові центри, універмаги, магазини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Криті ринки, павільйони та зали для ярмарків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Станції технічного обслуговування автомобілів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Їдальні, кафе, закусочні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Бази та склади підприємств торгівлі і громадського харчування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підприємств побутового обслуговування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1230.9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торговельні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124</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транспорту та засобів зв’язку</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Вокзали, аеровокзали, будівлі засобів зв’язку та пов’язані з ними будівлі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Автовокзали та інші будівлі автомобільного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Вокзали та інші будівлі залізничного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міського електротранспорту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Аеровокзали та інші будівлі повітряного транспорту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Морські та річкові вокзали, маяки та пов’язані з ними будівлі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станцій підвісних та канатних доріг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1241.7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центрів радіо- та телевізійного мовлення, телефонних станцій, телекомунікаційних центрів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1241.8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Ангари для літаків, локомотивні, вагонні, трамвайні та тролейбусні депо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1241.9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транспорту та засобів зв’язку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Гаражі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Гаражі наземні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Гаражі підземні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Стоянки автомобільні криті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1242.4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Навіси для велосипедів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0,832</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0,416</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промислові та склади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промислові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підприємств машинобудування та металообробної промисловості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чорної металургії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хімічної та нафтохімічної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легкої промисловості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підприємств харчової промисловості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медичної та мікробіологічної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1251.7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лісової, деревообробної та целюлозно-паперової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1251.8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1251.9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інших промислових виробництв, включаючи поліграфічне</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Резервуари, силоси та склади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Резервуари для нафти, нафтопродуктів та газу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Резервуари та ємності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Силоси для зерна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Силоси для цементу та інших сипучих матеріалів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Склади спеціальні товарні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Холодильники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1252.7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Складські майданчики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1252.8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Склади універсальні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1,17</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0,936</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0,468</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1252.9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Склади та сховища інші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для публічних виступів, закладів освітнього, медичного та оздоровчого призначення</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для публічних виступів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Театри, кінотеатри та концертні зали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Зали засідань та багатоцільові зали для публічних виступів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Цирки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Казино, ігорні будинки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Музичні та танцювальні зали, дискотеки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1261.9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для публічних виступів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1,3</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1,04</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0,52</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Музеї та бібліотеки</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Музеї та художні галереї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Бібліотеки, книгосховища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Технічні центри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Планетарії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архівів</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1262.6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зоологічних та ботанічних садів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навчальних та дослідних закладів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науково-дослідних та проектно-вишукувальних установ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вищих навчальних закладів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шкіл та інших середніх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професійно-технічних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дошкільних та позашкільних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спеціальних навчальних закладів для дітей з особливими потребами</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1263.7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закладів з фахової перепідготовки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1263.8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метеорологічних станцій, обсерваторій</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1263.9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освітніх та науково-дослідних закладів інші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лікарень та оздоровчих закладів</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Лікарні багатопрофільні територіального обслуговування, навчальних закладів</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Лікарні профільні, диспансери</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Материнські та дитячі реабілітаційні центри, пологові будинки</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Поліклініки, пункти медичного обслуговування та консультації</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Шпиталі виправних закладів, в’язниць та Збройних Сил</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Санаторії, профілакторії та центри функціональної реабілітації</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1264.9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Заклади лікувально-профілактичні та оздоровчі інші</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Зали спортивні</w:t>
            </w:r>
            <w:r>
              <w:rPr>
                <w:rFonts w:cs="Times New Roman" w:ascii="Times New Roman" w:hAnsi="Times New Roman"/>
                <w:sz w:val="24"/>
                <w:szCs w:val="24"/>
                <w:vertAlign w:val="superscript"/>
                <w:lang w:val="en-US"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Зали гімнастичні, баскетбольні, волейбольні, тенісні тощо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Басейни криті для плавання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 xml:space="preserve">Хокейні та льодові стадіони криті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Манежі легкоатлетичні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Тири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1265.9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Зали спортивні інші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en-US" w:eastAsia="ru-RU"/>
              </w:rPr>
              <w:t>Будівлі нежитлові інші</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сільськогосподарського призначення, лісівництва та рибного господарства</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тваринництва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птахівництва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для зберігання зерна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силосні та сінажні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для садівництва, виноградарства та виноробства</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1271.6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тепличного господарства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1271.7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рибного господарства</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1271.8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підприємств лісівництва та звірівництва</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1271.9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Будівлі сільськогосподарського призначення інші</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для культової та релігійної діяльності</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Церкви, собори, костьоли, мечеті, синагоги тощо</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Похоронні бюро та ритуальні зали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1272.3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Цвинтарі та крематорії</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Пам’ятки історичні та такі, що охороняються державою</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Пам’ятки історії та архітектури</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Археологічні розкопки, руїни та історичні місця, що охороняються державою</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1273.3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Меморіали, художньо-декоративні будівлі, статуї</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 </w:t>
            </w:r>
          </w:p>
        </w:tc>
        <w:tc>
          <w:tcPr>
            <w:tcW w:w="13952" w:type="dxa"/>
            <w:gridSpan w:val="1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Будівлі інші, не класифіковані раніше</w:t>
            </w:r>
            <w:r>
              <w:rPr>
                <w:rFonts w:cs="Times New Roman" w:ascii="Times New Roman" w:hAnsi="Times New Roman"/>
                <w:sz w:val="24"/>
                <w:szCs w:val="24"/>
                <w:vertAlign w:val="superscript"/>
                <w:lang w:val="ru-RU" w:eastAsia="ru-RU"/>
              </w:rPr>
              <w:t>5</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1274.1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Казарми Збройних Сил</w:t>
            </w:r>
            <w:r>
              <w:rPr>
                <w:rFonts w:cs="Times New Roman" w:ascii="Times New Roman" w:hAnsi="Times New Roman"/>
                <w:sz w:val="24"/>
                <w:szCs w:val="24"/>
                <w:vertAlign w:val="superscript"/>
                <w:lang w:val="en-US"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1274.2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Будівлі поліцейських та пожежних служб</w:t>
            </w:r>
            <w:r>
              <w:rPr>
                <w:rFonts w:cs="Times New Roman" w:ascii="Times New Roman" w:hAnsi="Times New Roman"/>
                <w:sz w:val="24"/>
                <w:szCs w:val="24"/>
                <w:vertAlign w:val="superscript"/>
                <w:lang w:val="ru-RU"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1274.3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eastAsia="ru-RU"/>
              </w:rPr>
              <w:t>Будівлі виправних закладів, в’язниць та слідчих ізоляторів</w:t>
            </w:r>
            <w:r>
              <w:rPr>
                <w:rFonts w:cs="Times New Roman" w:ascii="Times New Roman" w:hAnsi="Times New Roman"/>
                <w:sz w:val="24"/>
                <w:szCs w:val="24"/>
                <w:vertAlign w:val="superscript"/>
                <w:lang w:eastAsia="ru-RU"/>
              </w:rPr>
              <w:t>5</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1274.4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Будівлі лазень та пралень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r>
        <w:trPr>
          <w:trHeight w:val="23" w:hRule="atLeast"/>
        </w:trPr>
        <w:tc>
          <w:tcPr>
            <w:tcW w:w="1092" w:type="dxa"/>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en-US" w:eastAsia="ru-RU"/>
              </w:rPr>
              <w:t xml:space="preserve">1274.5 </w:t>
            </w:r>
          </w:p>
        </w:tc>
        <w:tc>
          <w:tcPr>
            <w:tcW w:w="7551" w:type="dxa"/>
            <w:tcBorders>
              <w:top w:val="single" w:sz="4" w:space="0" w:color="000001"/>
              <w:left w:val="single" w:sz="4" w:space="0" w:color="000001"/>
              <w:bottom w:val="single" w:sz="4" w:space="0" w:color="000001"/>
              <w:insideH w:val="single" w:sz="4" w:space="0" w:color="000001"/>
            </w:tcBorders>
            <w:shd w:fill="auto" w:val="clear"/>
            <w:tcMar>
              <w:left w:w="8" w:type="dxa"/>
            </w:tcM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ru-RU" w:eastAsia="ru-RU"/>
              </w:rPr>
              <w:t xml:space="preserve">Будівлі з облаштування населених пунктів </w:t>
            </w:r>
          </w:p>
        </w:tc>
        <w:tc>
          <w:tcPr>
            <w:tcW w:w="1070"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7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109" w:type="dxa"/>
            <w:gridSpan w:val="4"/>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c>
          <w:tcPr>
            <w:tcW w:w="1118" w:type="dxa"/>
            <w:gridSpan w:val="3"/>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0,91</w:t>
            </w:r>
          </w:p>
        </w:tc>
        <w:tc>
          <w:tcPr>
            <w:tcW w:w="1000" w:type="dxa"/>
            <w:gridSpan w:val="2"/>
            <w:tcBorders>
              <w:top w:val="single" w:sz="4" w:space="0" w:color="000001"/>
              <w:left w:val="single" w:sz="4" w:space="0" w:color="000001"/>
              <w:bottom w:val="single" w:sz="4" w:space="0" w:color="000001"/>
              <w:insideH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0,728</w:t>
            </w:r>
          </w:p>
        </w:tc>
        <w:tc>
          <w:tcPr>
            <w:tcW w:w="1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 w:type="dxa"/>
            </w:tcM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ru-RU" w:eastAsia="ru-RU"/>
              </w:rPr>
              <w:t>0,364</w:t>
            </w:r>
          </w:p>
        </w:tc>
      </w:tr>
    </w:tbl>
    <w:p>
      <w:pPr>
        <w:pStyle w:val="Style24"/>
        <w:spacing w:lineRule="auto" w:line="216" w:before="0" w:after="113"/>
        <w:ind w:hanging="0"/>
        <w:jc w:val="both"/>
        <w:rPr>
          <w:rFonts w:ascii="Times New Roman" w:hAnsi="Times New Roman" w:cs="Times New Roman"/>
          <w:szCs w:val="26"/>
        </w:rPr>
      </w:pPr>
      <w:r>
        <w:rPr>
          <w:rFonts w:cs="Times New Roman" w:ascii="Times New Roman" w:hAnsi="Times New Roman"/>
          <w:szCs w:val="26"/>
          <w:lang w:val="ru-RU" w:eastAsia="ru-RU"/>
        </w:rPr>
        <w:t>__________</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ru-RU" w:eastAsia="ru-RU"/>
        </w:rPr>
        <w:t>1</w:t>
      </w:r>
      <w:r>
        <w:rPr>
          <w:rFonts w:cs="Times New Roman" w:ascii="Times New Roman" w:hAnsi="Times New Roman"/>
          <w:sz w:val="22"/>
          <w:szCs w:val="22"/>
          <w:lang w:val="ru-RU"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ru-RU" w:eastAsia="ru-RU"/>
        </w:rPr>
        <w:t>2</w:t>
      </w:r>
      <w:r>
        <w:rPr>
          <w:rFonts w:cs="Times New Roman" w:ascii="Times New Roman" w:hAnsi="Times New Roman"/>
          <w:sz w:val="22"/>
          <w:szCs w:val="22"/>
          <w:lang w:val="ru-RU"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eastAsia="ru-RU"/>
        </w:rPr>
        <w:t>3</w:t>
      </w:r>
      <w:r>
        <w:rPr>
          <w:rFonts w:cs="Times New Roman" w:ascii="Times New Roman" w:hAnsi="Times New Roman"/>
          <w:sz w:val="22"/>
          <w:szCs w:val="22"/>
          <w:lang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sz w:val="22"/>
          <w:szCs w:val="22"/>
        </w:rPr>
      </w:pPr>
      <w:r>
        <w:rPr>
          <w:rFonts w:cs="Times New Roman" w:ascii="Times New Roman" w:hAnsi="Times New Roman"/>
          <w:sz w:val="22"/>
          <w:szCs w:val="22"/>
          <w:vertAlign w:val="superscript"/>
          <w:lang w:eastAsia="ru-RU"/>
        </w:rPr>
        <w:t>4</w:t>
      </w:r>
      <w:r>
        <w:rPr>
          <w:rFonts w:cs="Times New Roman" w:ascii="Times New Roman" w:hAnsi="Times New Roman"/>
          <w:sz w:val="22"/>
          <w:szCs w:val="22"/>
          <w:lang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sectPr>
          <w:type w:val="nextPage"/>
          <w:pgSz w:orient="landscape" w:w="16838" w:h="11906"/>
          <w:pgMar w:left="851" w:right="539" w:header="0" w:top="899" w:footer="0" w:bottom="709" w:gutter="0"/>
          <w:pgNumType w:fmt="decimal"/>
          <w:formProt w:val="false"/>
          <w:textDirection w:val="lrTb"/>
          <w:docGrid w:type="default" w:linePitch="360" w:charSpace="0"/>
        </w:sect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eastAsia="ru-RU"/>
        </w:rPr>
        <w:t>5</w:t>
      </w:r>
      <w:r>
        <w:rPr>
          <w:rFonts w:cs="Times New Roman" w:ascii="Times New Roman" w:hAnsi="Times New Roman"/>
          <w:sz w:val="22"/>
          <w:szCs w:val="22"/>
          <w:lang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eastAsia="ru-RU"/>
        </w:rPr>
        <w:t xml:space="preserve"> </w:t>
      </w:r>
    </w:p>
    <w:p>
      <w:pPr>
        <w:pStyle w:val="Normal"/>
        <w:spacing w:lineRule="auto" w:line="240" w:before="0" w:after="0"/>
        <w:jc w:val="center"/>
        <w:rPr/>
      </w:pPr>
      <w:r>
        <w:rPr>
          <w:rFonts w:ascii="Times New Roman" w:hAnsi="Times New Roman"/>
          <w:b/>
          <w:sz w:val="26"/>
          <w:szCs w:val="26"/>
        </w:rPr>
        <w:t>Відповідність вулиць та провулків зонам м. Покров</w:t>
      </w:r>
    </w:p>
    <w:tbl>
      <w:tblPr>
        <w:tblW w:w="9639" w:type="dxa"/>
        <w:jc w:val="left"/>
        <w:tblInd w:w="94"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840"/>
        <w:gridCol w:w="8798"/>
      </w:tblGrid>
      <w:tr>
        <w:trPr/>
        <w:tc>
          <w:tcPr>
            <w:tcW w:w="840"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 xml:space="preserve">Зона </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Перелік вулиць та провулків</w:t>
            </w:r>
          </w:p>
        </w:tc>
      </w:tr>
      <w:tr>
        <w:trPr/>
        <w:tc>
          <w:tcPr>
            <w:tcW w:w="84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1</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tabs>
                <w:tab w:val="left" w:pos="6165" w:leader="none"/>
              </w:tabs>
              <w:spacing w:lineRule="auto" w:line="240" w:before="120" w:after="0"/>
              <w:jc w:val="both"/>
              <w:rPr/>
            </w:pPr>
            <w:r>
              <w:rPr>
                <w:rFonts w:ascii="Times New Roman" w:hAnsi="Times New Roman"/>
                <w:sz w:val="25"/>
                <w:szCs w:val="25"/>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провулки:  Пушкіна, Титова, Ушакова </w:t>
            </w:r>
          </w:p>
        </w:tc>
      </w:tr>
      <w:tr>
        <w:trPr>
          <w:trHeight w:val="4615" w:hRule="atLeast"/>
        </w:trPr>
        <w:tc>
          <w:tcPr>
            <w:tcW w:w="84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2</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 </w:t>
            </w:r>
          </w:p>
          <w:p>
            <w:pPr>
              <w:pStyle w:val="Normal"/>
              <w:tabs>
                <w:tab w:val="left" w:pos="6165" w:leader="none"/>
              </w:tabs>
              <w:spacing w:lineRule="auto" w:line="240" w:before="120" w:after="0"/>
              <w:jc w:val="both"/>
              <w:rPr>
                <w:rFonts w:ascii="Times New Roman" w:hAnsi="Times New Roman"/>
                <w:sz w:val="25"/>
                <w:szCs w:val="25"/>
              </w:rPr>
            </w:pPr>
            <w:r>
              <w:rPr>
                <w:rFonts w:ascii="Times New Roman" w:hAnsi="Times New Roman"/>
                <w:sz w:val="25"/>
                <w:szCs w:val="25"/>
              </w:rPr>
              <w:t xml:space="preserve">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 </w:t>
            </w:r>
          </w:p>
          <w:p>
            <w:pPr>
              <w:pStyle w:val="Normal"/>
              <w:tabs>
                <w:tab w:val="left" w:pos="6165" w:leader="none"/>
              </w:tabs>
              <w:spacing w:lineRule="auto" w:line="240" w:before="120" w:after="0"/>
              <w:jc w:val="both"/>
              <w:rPr/>
            </w:pPr>
            <w:r>
              <w:rPr>
                <w:rFonts w:ascii="Times New Roman" w:hAnsi="Times New Roman"/>
                <w:b/>
                <w:sz w:val="25"/>
                <w:szCs w:val="25"/>
              </w:rPr>
              <w:t>смт.Чортомлик</w:t>
            </w:r>
            <w:r>
              <w:rPr>
                <w:rFonts w:ascii="Times New Roman" w:hAnsi="Times New Roman"/>
                <w:sz w:val="25"/>
                <w:szCs w:val="25"/>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tc>
      </w:tr>
      <w:tr>
        <w:trPr/>
        <w:tc>
          <w:tcPr>
            <w:tcW w:w="840"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Normal"/>
              <w:tabs>
                <w:tab w:val="left" w:pos="6165" w:leader="none"/>
              </w:tabs>
              <w:spacing w:lineRule="auto" w:line="240" w:before="120" w:after="0"/>
              <w:jc w:val="center"/>
              <w:rPr>
                <w:rFonts w:ascii="Times New Roman" w:hAnsi="Times New Roman"/>
                <w:sz w:val="25"/>
                <w:szCs w:val="25"/>
              </w:rPr>
            </w:pPr>
            <w:r>
              <w:rPr>
                <w:rFonts w:ascii="Times New Roman" w:hAnsi="Times New Roman"/>
                <w:sz w:val="25"/>
                <w:szCs w:val="25"/>
              </w:rPr>
              <w:t>3</w:t>
            </w:r>
          </w:p>
        </w:tc>
        <w:tc>
          <w:tcPr>
            <w:tcW w:w="8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hemeFill="background1" w:val="clear"/>
            <w:tcMar>
              <w:left w:w="88" w:type="dxa"/>
            </w:tcMar>
          </w:tcPr>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смт.Гірницьке</w:t>
            </w:r>
            <w:r>
              <w:rPr>
                <w:rFonts w:ascii="Times New Roman" w:hAnsi="Times New Roman"/>
                <w:sz w:val="25"/>
                <w:szCs w:val="25"/>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с.П.Хутори</w:t>
            </w:r>
            <w:r>
              <w:rPr>
                <w:rFonts w:ascii="Times New Roman" w:hAnsi="Times New Roman"/>
                <w:sz w:val="25"/>
                <w:szCs w:val="25"/>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с.Шолохове</w:t>
            </w:r>
            <w:r>
              <w:rPr>
                <w:rFonts w:ascii="Times New Roman" w:hAnsi="Times New Roman"/>
                <w:sz w:val="25"/>
                <w:szCs w:val="25"/>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sz w:val="25"/>
                <w:szCs w:val="25"/>
              </w:rPr>
              <w:t>провулки: Вільний, Крутий, Ломаний, Прямий.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 xml:space="preserve">с. Миронівка </w:t>
            </w:r>
            <w:r>
              <w:rPr>
                <w:rFonts w:ascii="Times New Roman" w:hAnsi="Times New Roman"/>
                <w:sz w:val="25"/>
                <w:szCs w:val="25"/>
              </w:rPr>
              <w:t>вулиці: Дальня, Набережна, Січова, Шевченко, Садова, Шкільна, Зарічна, Матросова;</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sz w:val="25"/>
                <w:szCs w:val="25"/>
              </w:rPr>
              <w:t>провулки: Гагаріна, Матросова, Партизанський, Степовий, Шкільний.</w:t>
            </w:r>
          </w:p>
          <w:p>
            <w:pPr>
              <w:pStyle w:val="Normal"/>
              <w:tabs>
                <w:tab w:val="left" w:pos="6165" w:leader="none"/>
              </w:tabs>
              <w:spacing w:lineRule="auto" w:line="240" w:before="0" w:after="0"/>
              <w:jc w:val="both"/>
              <w:rPr>
                <w:rFonts w:ascii="Times New Roman" w:hAnsi="Times New Roman"/>
                <w:sz w:val="25"/>
                <w:szCs w:val="25"/>
              </w:rPr>
            </w:pPr>
            <w:r>
              <w:rPr>
                <w:rFonts w:ascii="Times New Roman" w:hAnsi="Times New Roman"/>
                <w:b/>
                <w:sz w:val="25"/>
                <w:szCs w:val="25"/>
              </w:rPr>
              <w:t>с.Улянівка</w:t>
            </w:r>
            <w:r>
              <w:rPr>
                <w:rFonts w:ascii="Times New Roman" w:hAnsi="Times New Roman"/>
                <w:sz w:val="25"/>
                <w:szCs w:val="25"/>
              </w:rPr>
              <w:t xml:space="preserve"> вулиці: Гагаріна, Чкалова</w:t>
            </w:r>
          </w:p>
        </w:tc>
      </w:tr>
    </w:tbl>
    <w:p>
      <w:pPr>
        <w:pStyle w:val="Normal"/>
        <w:tabs>
          <w:tab w:val="left" w:pos="6165" w:leader="none"/>
        </w:tabs>
        <w:spacing w:lineRule="auto" w:line="240" w:before="120" w:after="0"/>
        <w:rPr/>
      </w:pPr>
      <w:r>
        <w:rPr>
          <w:rFonts w:ascii="Times New Roman" w:hAnsi="Times New Roman"/>
          <w:sz w:val="24"/>
          <w:szCs w:val="24"/>
        </w:rPr>
        <w:t>Начальник відділу економіки</w:t>
        <w:tab/>
        <w:tab/>
        <w:tab/>
        <w:tab/>
        <w:t>О.Ю.Глазкова</w:t>
      </w:r>
    </w:p>
    <w:p>
      <w:pPr>
        <w:pStyle w:val="Normal"/>
        <w:spacing w:lineRule="auto" w:line="240" w:before="0" w:after="0"/>
        <w:ind w:left="5954" w:firstLine="567"/>
        <w:rPr>
          <w:rFonts w:ascii="Times New Roman" w:hAnsi="Times New Roman"/>
          <w:sz w:val="24"/>
          <w:szCs w:val="24"/>
        </w:rPr>
      </w:pPr>
      <w:r>
        <w:rPr>
          <w:rFonts w:ascii="Times New Roman" w:hAnsi="Times New Roman"/>
          <w:sz w:val="24"/>
          <w:szCs w:val="24"/>
        </w:rPr>
      </w:r>
    </w:p>
    <w:p>
      <w:pPr>
        <w:pStyle w:val="Normal"/>
        <w:spacing w:lineRule="auto" w:line="240" w:before="0" w:after="0"/>
        <w:ind w:left="5954" w:firstLine="567"/>
        <w:rPr/>
      </w:pPr>
      <w:r>
        <w:rPr>
          <w:rFonts w:ascii="Times New Roman" w:hAnsi="Times New Roman"/>
          <w:sz w:val="24"/>
          <w:szCs w:val="24"/>
        </w:rPr>
        <w:tab/>
        <w:t xml:space="preserve">Додаток  2 </w:t>
      </w:r>
    </w:p>
    <w:p>
      <w:pPr>
        <w:pStyle w:val="Normal"/>
        <w:spacing w:lineRule="auto" w:line="240" w:before="0" w:after="0"/>
        <w:ind w:left="5954" w:hanging="0"/>
        <w:rPr/>
      </w:pPr>
      <w:r>
        <w:rPr>
          <w:rFonts w:ascii="Times New Roman" w:hAnsi="Times New Roman"/>
          <w:sz w:val="24"/>
          <w:szCs w:val="24"/>
        </w:rPr>
        <w:t>до рішення 43 сесії 7 скликання</w:t>
      </w:r>
    </w:p>
    <w:p>
      <w:pPr>
        <w:pStyle w:val="Normal"/>
        <w:spacing w:lineRule="auto" w:line="240" w:before="0" w:after="0"/>
        <w:ind w:left="5954" w:hanging="0"/>
        <w:rPr/>
      </w:pPr>
      <w:r>
        <w:rPr>
          <w:rFonts w:ascii="Times New Roman" w:hAnsi="Times New Roman"/>
          <w:sz w:val="24"/>
          <w:szCs w:val="24"/>
        </w:rPr>
        <w:t xml:space="preserve">29.03.2019   </w:t>
      </w:r>
      <w:r>
        <w:rPr>
          <w:rFonts w:ascii="Times New Roman" w:hAnsi="Times New Roman"/>
          <w:sz w:val="24"/>
          <w:szCs w:val="24"/>
        </w:rPr>
        <w:t xml:space="preserve"> № </w:t>
      </w:r>
      <w:r>
        <w:rPr>
          <w:rFonts w:ascii="Times New Roman" w:hAnsi="Times New Roman"/>
          <w:sz w:val="24"/>
          <w:szCs w:val="24"/>
        </w:rPr>
        <w:t>12</w:t>
      </w:r>
    </w:p>
    <w:p>
      <w:pPr>
        <w:pStyle w:val="Normal"/>
        <w:spacing w:lineRule="auto" w:line="240" w:before="0" w:after="0"/>
        <w:ind w:left="5954" w:hanging="0"/>
        <w:rPr>
          <w:rFonts w:ascii="Times New Roman" w:hAnsi="Times New Roman"/>
          <w:sz w:val="24"/>
          <w:szCs w:val="24"/>
        </w:rPr>
      </w:pPr>
      <w:r>
        <w:rPr>
          <w:rFonts w:ascii="Times New Roman" w:hAnsi="Times New Roman"/>
          <w:sz w:val="24"/>
          <w:szCs w:val="24"/>
        </w:rPr>
      </w:r>
    </w:p>
    <w:p>
      <w:pPr>
        <w:pStyle w:val="Style25"/>
        <w:spacing w:before="0" w:after="0"/>
        <w:rPr>
          <w:szCs w:val="26"/>
        </w:rPr>
      </w:pPr>
      <w:r>
        <w:rPr>
          <w:rFonts w:cs="Times New Roman" w:ascii="Times New Roman" w:hAnsi="Times New Roman"/>
          <w:sz w:val="26"/>
          <w:szCs w:val="26"/>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6"/>
          <w:szCs w:val="26"/>
          <w:vertAlign w:val="superscript"/>
        </w:rPr>
        <w:t>1</w:t>
      </w:r>
    </w:p>
    <w:p>
      <w:pPr>
        <w:pStyle w:val="Style24"/>
        <w:spacing w:before="0" w:after="0"/>
        <w:jc w:val="both"/>
        <w:rPr>
          <w:sz w:val="26"/>
          <w:szCs w:val="26"/>
        </w:rPr>
      </w:pPr>
      <w:r>
        <w:rPr>
          <w:rFonts w:cs="Times New Roman" w:ascii="Times New Roman" w:hAnsi="Times New Roman"/>
          <w:sz w:val="26"/>
          <w:szCs w:val="26"/>
        </w:rPr>
        <w:t>Пільги вводяться в дію з 01 січня  2020 року.</w:t>
      </w:r>
    </w:p>
    <w:p>
      <w:pPr>
        <w:pStyle w:val="Style24"/>
        <w:spacing w:before="0" w:after="0"/>
        <w:jc w:val="both"/>
        <w:rPr>
          <w:sz w:val="26"/>
          <w:szCs w:val="26"/>
        </w:rPr>
      </w:pPr>
      <w:r>
        <w:rPr>
          <w:rFonts w:cs="Times New Roman" w:ascii="Times New Roman" w:hAnsi="Times New Roman"/>
          <w:sz w:val="26"/>
          <w:szCs w:val="26"/>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2082"/>
        <w:gridCol w:w="1571"/>
        <w:gridCol w:w="1762"/>
        <w:gridCol w:w="4341"/>
      </w:tblGrid>
      <w:tr>
        <w:trPr/>
        <w:tc>
          <w:tcPr>
            <w:tcW w:w="208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Код області</w:t>
            </w:r>
          </w:p>
        </w:tc>
        <w:tc>
          <w:tcPr>
            <w:tcW w:w="1571"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Код району</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Код згідно з КОАТУУ</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04</w:t>
            </w:r>
          </w:p>
        </w:tc>
        <w:tc>
          <w:tcPr>
            <w:tcW w:w="1571"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09</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1212100000</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before="120" w:after="0"/>
              <w:ind w:firstLine="28"/>
              <w:jc w:val="center"/>
              <w:rPr/>
            </w:pPr>
            <w:r>
              <w:rPr>
                <w:rFonts w:cs="Times New Roman" w:ascii="Times New Roman" w:hAnsi="Times New Roman"/>
                <w:sz w:val="24"/>
                <w:szCs w:val="24"/>
              </w:rPr>
              <w:t>м. Покров Дніпропетровської області</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1222987001</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val="ru-RU" w:eastAsia="ru-RU"/>
              </w:rPr>
              <w:t>с.Шолохове Дніпропетровської обл.</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1222987002</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val="ru-RU" w:eastAsia="ru-RU"/>
              </w:rPr>
              <w:t>с.Миронівка</w:t>
            </w:r>
            <w:r>
              <w:rPr>
                <w:rFonts w:cs="Times New Roman" w:ascii="Times New Roman" w:hAnsi="Times New Roman"/>
                <w:szCs w:val="26"/>
                <w:lang w:eastAsia="ru-RU"/>
              </w:rPr>
              <w:t xml:space="preserve"> Дніпроетровської обл.</w:t>
            </w:r>
          </w:p>
        </w:tc>
      </w:tr>
      <w:tr>
        <w:trPr/>
        <w:tc>
          <w:tcPr>
            <w:tcW w:w="208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04</w:t>
            </w:r>
          </w:p>
        </w:tc>
        <w:tc>
          <w:tcPr>
            <w:tcW w:w="1571"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22</w:t>
            </w:r>
          </w:p>
        </w:tc>
        <w:tc>
          <w:tcPr>
            <w:tcW w:w="1762"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eastAsia="ru-RU"/>
              </w:rPr>
              <w:t>1222987003</w:t>
            </w:r>
          </w:p>
        </w:tc>
        <w:tc>
          <w:tcPr>
            <w:tcW w:w="43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before="0" w:after="200"/>
              <w:ind w:firstLine="34"/>
              <w:jc w:val="center"/>
              <w:rPr/>
            </w:pPr>
            <w:r>
              <w:rPr>
                <w:rFonts w:cs="Times New Roman" w:ascii="Times New Roman" w:hAnsi="Times New Roman"/>
                <w:szCs w:val="26"/>
                <w:lang w:val="ru-RU" w:eastAsia="ru-RU"/>
              </w:rPr>
              <w:t>с.Улянівка Дніпропетровської обл</w:t>
            </w:r>
          </w:p>
        </w:tc>
      </w:tr>
    </w:tbl>
    <w:p>
      <w:pPr>
        <w:pStyle w:val="Style24"/>
        <w:jc w:val="both"/>
        <w:rPr>
          <w:rFonts w:ascii="Times New Roman" w:hAnsi="Times New Roman" w:cs="Times New Roman"/>
          <w:sz w:val="12"/>
          <w:szCs w:val="12"/>
        </w:rPr>
      </w:pPr>
      <w:r>
        <w:rPr>
          <w:rFonts w:cs="Times New Roman" w:ascii="Times New Roman" w:hAnsi="Times New Roman"/>
          <w:sz w:val="12"/>
          <w:szCs w:val="12"/>
        </w:rPr>
      </w:r>
    </w:p>
    <w:tbl>
      <w:tblPr>
        <w:tblW w:w="9757" w:type="dxa"/>
        <w:jc w:val="left"/>
        <w:tblInd w:w="-25"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7505"/>
        <w:gridCol w:w="2251"/>
      </w:tblGrid>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Група платників, категорія/класифікація</w:t>
              <w:br/>
              <w:t>будівель та споруд</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Розмір пільги</w:t>
              <w:br/>
              <w:t>(відсотків суми податкового зобов’язання за рік)</w:t>
            </w:r>
          </w:p>
        </w:tc>
      </w:tr>
      <w:tr>
        <w:trPr>
          <w:trHeight w:val="785" w:hRule="atLeast"/>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об’єкти  нежитлової нерухомості, які належать до власності територіальної громади міста та обліковуються на балансі комунальних підприємств</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нежитлову нерухомість фізичних осіб за 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об’єкти нерухомості соціально-культурного, оздоровчого та спортивного призначення усіх форм власності, крім випадків надання зазначених об’єктів або їх частин в оренду зі зміною цільового призначення об’єктів в періоді надання об’єктів в оренду за площу, надану в оренду</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малозабезпечені та багатодітні сім’ї</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інваліди 1 групи</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домогосподарства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батьки та сім`ї загиблих воїнів – інтернаціоналістів; батьки та сім`ї військовослужбовців, загиблих при проходженні військової служби; учасники АТО, які перебувають на обліку в Управлінні праці та соціального захисту населення</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r>
        <w:trPr/>
        <w:tc>
          <w:tcPr>
            <w:tcW w:w="7505" w:type="dxa"/>
            <w:tcBorders>
              <w:top w:val="single" w:sz="4" w:space="0" w:color="000001"/>
              <w:left w:val="single" w:sz="4" w:space="0" w:color="000001"/>
              <w:bottom w:val="single" w:sz="4" w:space="0" w:color="000001"/>
              <w:insideH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будівлі вбиралень промислових підприємств</w:t>
            </w:r>
          </w:p>
        </w:tc>
        <w:tc>
          <w:tcPr>
            <w:tcW w:w="22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vAlign w:val="center"/>
          </w:tcPr>
          <w:p>
            <w:pPr>
              <w:pStyle w:val="Style24"/>
              <w:spacing w:lineRule="auto" w:line="216" w:before="0" w:after="0"/>
              <w:ind w:firstLine="28"/>
              <w:jc w:val="center"/>
              <w:rPr/>
            </w:pPr>
            <w:r>
              <w:rPr>
                <w:rFonts w:cs="Times New Roman" w:ascii="Times New Roman" w:hAnsi="Times New Roman"/>
                <w:sz w:val="24"/>
                <w:szCs w:val="24"/>
              </w:rPr>
              <w:t>100</w:t>
            </w:r>
          </w:p>
        </w:tc>
      </w:tr>
    </w:tbl>
    <w:p>
      <w:pPr>
        <w:pStyle w:val="Style24"/>
        <w:jc w:val="both"/>
        <w:rPr/>
      </w:pPr>
      <w:r>
        <w:rPr>
          <w:rFonts w:cs="Times New Roman" w:ascii="Times New Roman" w:hAnsi="Times New Roman"/>
          <w:sz w:val="20"/>
          <w:vertAlign w:val="superscript"/>
        </w:rPr>
        <w:t xml:space="preserve">1 </w:t>
      </w:r>
      <w:r>
        <w:rPr>
          <w:rFonts w:cs="Times New Roman" w:ascii="Times New Roman" w:hAnsi="Times New Roman"/>
          <w:sz w:val="20"/>
        </w:rPr>
        <w:t>Пільги визначаються з урахуванням норм підпункту 12.3.7 пункту 12.3 статті</w:t>
      </w:r>
      <w:r>
        <w:rPr>
          <w:rFonts w:cs="Times New Roman" w:ascii="Times New Roman" w:hAnsi="Times New Roman"/>
          <w:sz w:val="20"/>
          <w:lang w:val="ru-RU"/>
        </w:rPr>
        <w:t xml:space="preserve"> </w:t>
      </w:r>
      <w:r>
        <w:rPr>
          <w:rFonts w:cs="Times New Roman" w:ascii="Times New Roman" w:hAnsi="Times New Roman"/>
          <w:sz w:val="20"/>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left" w:pos="6165" w:leader="none"/>
        </w:tabs>
        <w:rPr>
          <w:sz w:val="16"/>
          <w:szCs w:val="16"/>
        </w:rPr>
      </w:pPr>
      <w:r>
        <w:rPr>
          <w:sz w:val="16"/>
          <w:szCs w:val="16"/>
        </w:rPr>
      </w:r>
    </w:p>
    <w:p>
      <w:pPr>
        <w:pStyle w:val="Normal"/>
        <w:tabs>
          <w:tab w:val="left" w:pos="6165" w:leader="none"/>
        </w:tabs>
        <w:spacing w:before="0" w:after="200"/>
        <w:rPr/>
      </w:pPr>
      <w:r>
        <w:rPr>
          <w:rFonts w:ascii="Times New Roman" w:hAnsi="Times New Roman"/>
          <w:sz w:val="26"/>
          <w:szCs w:val="26"/>
        </w:rPr>
        <w:t>Начальник відділу економіки</w:t>
        <w:tab/>
        <w:tab/>
        <w:tab/>
        <w:t>О.Ю.Глазкова</w:t>
      </w:r>
    </w:p>
    <w:sectPr>
      <w:type w:val="nextPage"/>
      <w:pgSz w:w="11906" w:h="16838"/>
      <w:pgMar w:left="1701" w:right="567" w:header="0" w:top="810"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Antiqu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68"/>
        </w:tabs>
        <w:ind w:left="106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2">
    <w:name w:val="Heading 2"/>
    <w:basedOn w:val="Normal"/>
    <w:link w:val="20"/>
    <w:qFormat/>
    <w:rsid w:val="008f3b95"/>
    <w:pPr>
      <w:keepNext w:val="true"/>
      <w:tabs>
        <w:tab w:val="left" w:pos="0" w:leader="none"/>
      </w:tabs>
      <w:spacing w:lineRule="auto" w:line="240" w:before="0" w:after="0"/>
      <w:jc w:val="center"/>
      <w:outlineLvl w:val="1"/>
    </w:pPr>
    <w:rPr>
      <w:rFonts w:ascii="Times New Roman" w:hAnsi="Times New Roman" w:eastAsia="Times New Roman"/>
      <w:b/>
      <w:sz w:val="28"/>
      <w:szCs w:val="20"/>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8f3b95"/>
    <w:rPr>
      <w:b/>
      <w:sz w:val="28"/>
      <w:lang w:val="uk-UA" w:eastAsia="zh-CN"/>
    </w:rPr>
  </w:style>
  <w:style w:type="character" w:styleId="WW8Num1z0" w:customStyle="1">
    <w:name w:val="WW8Num1z0"/>
    <w:qFormat/>
    <w:rsid w:val="008f3b95"/>
    <w:rPr/>
  </w:style>
  <w:style w:type="character" w:styleId="WW8Num1z1" w:customStyle="1">
    <w:name w:val="WW8Num1z1"/>
    <w:qFormat/>
    <w:rsid w:val="008f3b95"/>
    <w:rPr/>
  </w:style>
  <w:style w:type="character" w:styleId="WW8Num1z2" w:customStyle="1">
    <w:name w:val="WW8Num1z2"/>
    <w:qFormat/>
    <w:rsid w:val="008f3b95"/>
    <w:rPr/>
  </w:style>
  <w:style w:type="character" w:styleId="WW8Num1z3" w:customStyle="1">
    <w:name w:val="WW8Num1z3"/>
    <w:qFormat/>
    <w:rsid w:val="008f3b95"/>
    <w:rPr/>
  </w:style>
  <w:style w:type="character" w:styleId="WW8Num1z4" w:customStyle="1">
    <w:name w:val="WW8Num1z4"/>
    <w:qFormat/>
    <w:rsid w:val="008f3b95"/>
    <w:rPr/>
  </w:style>
  <w:style w:type="character" w:styleId="WW8Num1z5" w:customStyle="1">
    <w:name w:val="WW8Num1z5"/>
    <w:qFormat/>
    <w:rsid w:val="008f3b95"/>
    <w:rPr/>
  </w:style>
  <w:style w:type="character" w:styleId="WW8Num1z6" w:customStyle="1">
    <w:name w:val="WW8Num1z6"/>
    <w:qFormat/>
    <w:rsid w:val="008f3b95"/>
    <w:rPr/>
  </w:style>
  <w:style w:type="character" w:styleId="WW8Num1z7" w:customStyle="1">
    <w:name w:val="WW8Num1z7"/>
    <w:qFormat/>
    <w:rsid w:val="008f3b95"/>
    <w:rPr/>
  </w:style>
  <w:style w:type="character" w:styleId="WW8Num1z8" w:customStyle="1">
    <w:name w:val="WW8Num1z8"/>
    <w:qFormat/>
    <w:rsid w:val="008f3b95"/>
    <w:rPr/>
  </w:style>
  <w:style w:type="character" w:styleId="WW8Num2z0" w:customStyle="1">
    <w:name w:val="WW8Num2z0"/>
    <w:qFormat/>
    <w:rsid w:val="008f3b95"/>
    <w:rPr>
      <w:sz w:val="28"/>
      <w:szCs w:val="28"/>
    </w:rPr>
  </w:style>
  <w:style w:type="character" w:styleId="WW8Num2z1" w:customStyle="1">
    <w:name w:val="WW8Num2z1"/>
    <w:qFormat/>
    <w:rsid w:val="008f3b95"/>
    <w:rPr/>
  </w:style>
  <w:style w:type="character" w:styleId="WW8Num2z2" w:customStyle="1">
    <w:name w:val="WW8Num2z2"/>
    <w:qFormat/>
    <w:rsid w:val="008f3b95"/>
    <w:rPr/>
  </w:style>
  <w:style w:type="character" w:styleId="WW8Num2z3" w:customStyle="1">
    <w:name w:val="WW8Num2z3"/>
    <w:qFormat/>
    <w:rsid w:val="008f3b95"/>
    <w:rPr/>
  </w:style>
  <w:style w:type="character" w:styleId="WW8Num2z4" w:customStyle="1">
    <w:name w:val="WW8Num2z4"/>
    <w:qFormat/>
    <w:rsid w:val="008f3b95"/>
    <w:rPr/>
  </w:style>
  <w:style w:type="character" w:styleId="WW8Num2z5" w:customStyle="1">
    <w:name w:val="WW8Num2z5"/>
    <w:qFormat/>
    <w:rsid w:val="008f3b95"/>
    <w:rPr/>
  </w:style>
  <w:style w:type="character" w:styleId="WW8Num2z6" w:customStyle="1">
    <w:name w:val="WW8Num2z6"/>
    <w:qFormat/>
    <w:rsid w:val="008f3b95"/>
    <w:rPr/>
  </w:style>
  <w:style w:type="character" w:styleId="WW8Num2z7" w:customStyle="1">
    <w:name w:val="WW8Num2z7"/>
    <w:qFormat/>
    <w:rsid w:val="008f3b95"/>
    <w:rPr/>
  </w:style>
  <w:style w:type="character" w:styleId="WW8Num2z8" w:customStyle="1">
    <w:name w:val="WW8Num2z8"/>
    <w:qFormat/>
    <w:rsid w:val="008f3b95"/>
    <w:rPr/>
  </w:style>
  <w:style w:type="character" w:styleId="WW8Num3z0" w:customStyle="1">
    <w:name w:val="WW8Num3z0"/>
    <w:qFormat/>
    <w:rsid w:val="008f3b95"/>
    <w:rPr/>
  </w:style>
  <w:style w:type="character" w:styleId="Rvts44" w:customStyle="1">
    <w:name w:val="rvts44"/>
    <w:basedOn w:val="1"/>
    <w:qFormat/>
    <w:rsid w:val="008f3b95"/>
    <w:rPr/>
  </w:style>
  <w:style w:type="character" w:styleId="StyleZakonu" w:customStyle="1">
    <w:name w:val="StyleZakonu Знак"/>
    <w:qFormat/>
    <w:rsid w:val="008f3b95"/>
    <w:rPr>
      <w:lang w:val="uk-UA" w:bidi="ar-SA"/>
    </w:rPr>
  </w:style>
  <w:style w:type="character" w:styleId="Style14" w:customStyle="1">
    <w:name w:val="Текст выноски Знак"/>
    <w:basedOn w:val="DefaultParagraphFont"/>
    <w:link w:val="a9"/>
    <w:qFormat/>
    <w:rsid w:val="008f3b95"/>
    <w:rPr>
      <w:rFonts w:ascii="Tahoma" w:hAnsi="Tahoma" w:cs="Tahoma"/>
      <w:sz w:val="16"/>
      <w:szCs w:val="16"/>
      <w:lang w:eastAsia="zh-CN"/>
    </w:rPr>
  </w:style>
  <w:style w:type="character" w:styleId="ListLabel1">
    <w:name w:val="ListLabel 1"/>
    <w:qFormat/>
    <w:rPr>
      <w:sz w:val="28"/>
      <w:szCs w:val="28"/>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customStyle="1">
    <w:name w:val="Покажчик"/>
    <w:basedOn w:val="Normal"/>
    <w:qFormat/>
    <w:rsid w:val="008f3b95"/>
    <w:pPr>
      <w:suppressLineNumbers/>
      <w:spacing w:lineRule="auto" w:line="240" w:before="0" w:after="0"/>
    </w:pPr>
    <w:rPr>
      <w:rFonts w:ascii="Times New Roman" w:hAnsi="Times New Roman" w:eastAsia="Times New Roman" w:cs="Arial"/>
      <w:sz w:val="24"/>
      <w:szCs w:val="24"/>
      <w:lang w:val="ru-RU"/>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Zakonu1" w:customStyle="1">
    <w:name w:val="StyleZakonu"/>
    <w:basedOn w:val="Normal"/>
    <w:qFormat/>
    <w:rsid w:val="001429f2"/>
    <w:pPr>
      <w:spacing w:lineRule="exact" w:line="220" w:before="0" w:after="60"/>
      <w:ind w:firstLine="284"/>
      <w:jc w:val="both"/>
    </w:pPr>
    <w:rPr>
      <w:rFonts w:ascii="Times New Roman" w:hAnsi="Times New Roman" w:eastAsia="Times New Roman"/>
      <w:sz w:val="20"/>
      <w:szCs w:val="20"/>
    </w:rPr>
  </w:style>
  <w:style w:type="paragraph" w:styleId="12" w:customStyle="1">
    <w:name w:val="Название объекта1"/>
    <w:basedOn w:val="Normal"/>
    <w:qFormat/>
    <w:rsid w:val="008f3b95"/>
    <w:pPr>
      <w:spacing w:lineRule="auto" w:line="240" w:before="0" w:after="0"/>
      <w:jc w:val="center"/>
    </w:pPr>
    <w:rPr>
      <w:rFonts w:ascii="Times New Roman" w:hAnsi="Times New Roman" w:eastAsia="Times New Roman"/>
      <w:b/>
      <w:sz w:val="24"/>
      <w:szCs w:val="20"/>
    </w:rPr>
  </w:style>
  <w:style w:type="paragraph" w:styleId="BalloonText">
    <w:name w:val="Balloon Text"/>
    <w:basedOn w:val="Normal"/>
    <w:link w:val="aa"/>
    <w:qFormat/>
    <w:rsid w:val="008f3b95"/>
    <w:pPr>
      <w:spacing w:lineRule="auto" w:line="240" w:before="0" w:after="0"/>
    </w:pPr>
    <w:rPr>
      <w:rFonts w:ascii="Tahoma" w:hAnsi="Tahoma" w:eastAsia="Times New Roman" w:cs="Tahoma"/>
      <w:sz w:val="16"/>
      <w:szCs w:val="16"/>
      <w:lang w:val="ru-RU"/>
    </w:rPr>
  </w:style>
  <w:style w:type="paragraph" w:styleId="CharChar" w:customStyle="1">
    <w:name w:val="Char Знак Знак Char Знак Знак Знак Знак Знак Знак Знак Знак Знак Знак Знак 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1" w:customStyle="1">
    <w:name w:val="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2" w:customStyle="1">
    <w:name w:val="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3" w:customStyle="1">
    <w:name w:val="Знак Знак Знак Знак"/>
    <w:basedOn w:val="Normal"/>
    <w:qFormat/>
    <w:rsid w:val="008f3b95"/>
    <w:pPr>
      <w:spacing w:lineRule="auto" w:line="240" w:before="0" w:after="0"/>
    </w:pPr>
    <w:rPr>
      <w:rFonts w:ascii="Verdana" w:hAnsi="Verdana" w:eastAsia="Times New Roman" w:cs="Verdana"/>
      <w:sz w:val="20"/>
      <w:szCs w:val="20"/>
      <w:lang w:val="en-US" w:eastAsia="ru-RU"/>
    </w:rPr>
  </w:style>
  <w:style w:type="paragraph" w:styleId="13" w:customStyle="1">
    <w:name w:val="1"/>
    <w:basedOn w:val="Normal"/>
    <w:qFormat/>
    <w:rsid w:val="008f3b95"/>
    <w:pPr>
      <w:spacing w:lineRule="auto" w:line="240" w:before="0" w:after="0"/>
    </w:pPr>
    <w:rPr>
      <w:rFonts w:ascii="Verdana" w:hAnsi="Verdana" w:eastAsia="Times New Roman" w:cs="Verdana"/>
      <w:sz w:val="20"/>
      <w:szCs w:val="20"/>
      <w:lang w:val="en-US"/>
    </w:rPr>
  </w:style>
  <w:style w:type="paragraph" w:styleId="Style24" w:customStyle="1">
    <w:name w:val="Нормальний текст"/>
    <w:basedOn w:val="Normal"/>
    <w:qFormat/>
    <w:rsid w:val="008f3b95"/>
    <w:pPr>
      <w:spacing w:lineRule="auto" w:line="240" w:before="120" w:after="0"/>
      <w:ind w:firstLine="567"/>
    </w:pPr>
    <w:rPr>
      <w:rFonts w:ascii="Antiqua" w:hAnsi="Antiqua" w:eastAsia="Times New Roman" w:cs="Antiqua"/>
      <w:sz w:val="26"/>
      <w:szCs w:val="20"/>
    </w:rPr>
  </w:style>
  <w:style w:type="paragraph" w:styleId="Style25" w:customStyle="1">
    <w:name w:val="Назва документа"/>
    <w:basedOn w:val="Normal"/>
    <w:qFormat/>
    <w:rsid w:val="008f3b95"/>
    <w:pPr>
      <w:keepNext w:val="true"/>
      <w:keepLines/>
      <w:spacing w:lineRule="auto" w:line="240" w:before="240" w:after="240"/>
      <w:jc w:val="center"/>
    </w:pPr>
    <w:rPr>
      <w:rFonts w:ascii="Antiqua" w:hAnsi="Antiqua" w:eastAsia="Times New Roman" w:cs="Antiqua"/>
      <w:b/>
      <w:sz w:val="26"/>
      <w:szCs w:val="20"/>
    </w:rPr>
  </w:style>
  <w:style w:type="paragraph" w:styleId="22" w:customStyle="1">
    <w:name w:val="2"/>
    <w:basedOn w:val="Normal"/>
    <w:qFormat/>
    <w:rsid w:val="008f3b95"/>
    <w:pPr>
      <w:spacing w:lineRule="auto" w:line="240" w:before="0" w:after="0"/>
    </w:pPr>
    <w:rPr>
      <w:rFonts w:ascii="Verdana" w:hAnsi="Verdana" w:eastAsia="Times New Roman" w:cs="Verdana"/>
      <w:sz w:val="20"/>
      <w:szCs w:val="20"/>
      <w:lang w:val="en-US"/>
    </w:rPr>
  </w:style>
  <w:style w:type="paragraph" w:styleId="Style26" w:customStyle="1">
    <w:name w:val="Вміст таблиці"/>
    <w:basedOn w:val="Normal"/>
    <w:qFormat/>
    <w:rsid w:val="008f3b95"/>
    <w:pPr>
      <w:suppressLineNumbers/>
      <w:spacing w:lineRule="auto" w:line="240" w:before="0" w:after="0"/>
    </w:pPr>
    <w:rPr>
      <w:rFonts w:ascii="Times New Roman" w:hAnsi="Times New Roman" w:eastAsia="Times New Roman"/>
      <w:sz w:val="24"/>
      <w:szCs w:val="24"/>
      <w:lang w:val="ru-RU"/>
    </w:rPr>
  </w:style>
  <w:style w:type="paragraph" w:styleId="Style27" w:customStyle="1">
    <w:name w:val="Заголовок таблиці"/>
    <w:basedOn w:val="Style26"/>
    <w:qFormat/>
    <w:rsid w:val="008f3b95"/>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F1A-808C-47D0-99A9-3E2A1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137</TotalTime>
  <Application>LibreOffice/5.4.7.2$Windows_X86_64 LibreOffice_project/c838ef25c16710f8838b1faec480ebba495259d0</Application>
  <Pages>12</Pages>
  <Words>3075</Words>
  <Characters>18445</Characters>
  <CharactersWithSpaces>20749</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2019-02-25T13:42:00Z</dcterms:created>
  <dc:creator>Наталия Л</dc:creator>
  <dc:description/>
  <dc:language>ru-RU</dc:language>
  <cp:lastModifiedBy/>
  <cp:lastPrinted>2019-04-01T14:13:23Z</cp:lastPrinted>
  <dcterms:modified xsi:type="dcterms:W3CDTF">2019-04-01T14:16:00Z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