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rFonts w:ascii="Times New Roman" w:hAnsi="Times New Roman"/>
        </w:rPr>
      </w:pPr>
      <w:r>
        <w:drawing>
          <wp:anchor behindDoc="0" distT="0" distB="0" distL="0" distR="0" simplePos="0" locked="0" layoutInCell="0" allowOverlap="1" relativeHeight="3">
            <wp:simplePos x="0" y="0"/>
            <wp:positionH relativeFrom="column">
              <wp:posOffset>2677160</wp:posOffset>
            </wp:positionH>
            <wp:positionV relativeFrom="paragraph">
              <wp:posOffset>-247015</wp:posOffset>
            </wp:positionV>
            <wp:extent cx="456565" cy="685165"/>
            <wp:effectExtent l="0" t="0" r="0" b="0"/>
            <wp:wrapNone/>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56565" cy="685165"/>
                    </a:xfrm>
                    <a:prstGeom prst="rect">
                      <a:avLst/>
                    </a:prstGeom>
                  </pic:spPr>
                </pic:pic>
              </a:graphicData>
            </a:graphic>
          </wp:anchor>
        </w:drawing>
      </w:r>
      <w:r>
        <w:rPr>
          <w:rFonts w:ascii="Times New Roman" w:hAnsi="Times New Roman"/>
          <w:b/>
          <w:bCs/>
          <w:color w:val="C9211E"/>
          <w:sz w:val="28"/>
          <w:szCs w:val="28"/>
          <w:lang w:val="uk-UA"/>
        </w:rPr>
        <w:t>В</w:t>
      </w:r>
      <w:r>
        <w:rPr>
          <w:rFonts w:ascii="Times New Roman" w:hAnsi="Times New Roman"/>
          <w:b/>
          <w:color w:val="C9211E"/>
          <w:sz w:val="28"/>
          <w:lang w:val="uk-UA"/>
        </w:rPr>
        <w:t>тратило чинність</w:t>
      </w:r>
    </w:p>
    <w:p>
      <w:pPr>
        <w:pStyle w:val="Normal"/>
        <w:spacing w:before="0" w:after="0"/>
        <w:jc w:val="right"/>
        <w:rPr>
          <w:rFonts w:ascii="Times New Roman" w:hAnsi="Times New Roman"/>
        </w:rPr>
      </w:pPr>
      <w:r>
        <w:rPr>
          <w:rFonts w:ascii="Times New Roman" w:hAnsi="Times New Roman"/>
          <w:b/>
          <w:color w:val="C9211E"/>
          <w:sz w:val="21"/>
          <w:szCs w:val="21"/>
          <w:lang w:val="uk-UA"/>
        </w:rPr>
        <w:t>Підстава-рішення 1</w:t>
      </w:r>
      <w:r>
        <w:rPr>
          <w:rFonts w:ascii="Times New Roman" w:hAnsi="Times New Roman"/>
          <w:b/>
          <w:color w:val="C9211E"/>
          <w:sz w:val="21"/>
          <w:szCs w:val="21"/>
          <w:lang w:val="uk-UA"/>
        </w:rPr>
        <w:t>8</w:t>
      </w:r>
      <w:r>
        <w:rPr>
          <w:rFonts w:ascii="Times New Roman" w:hAnsi="Times New Roman"/>
          <w:b/>
          <w:color w:val="C9211E"/>
          <w:sz w:val="21"/>
          <w:szCs w:val="21"/>
          <w:lang w:val="uk-UA"/>
        </w:rPr>
        <w:t>-18-8 від 25.02.2022</w:t>
      </w:r>
    </w:p>
    <w:p>
      <w:pPr>
        <w:pStyle w:val="Style17"/>
        <w:spacing w:before="0" w:after="0"/>
        <w:jc w:val="center"/>
        <w:rPr>
          <w:b/>
          <w:b/>
          <w:bCs/>
          <w:sz w:val="28"/>
          <w:szCs w:val="28"/>
        </w:rPr>
      </w:pPr>
      <w:r>
        <w:rPr>
          <w:b/>
          <w:bCs/>
          <w:sz w:val="28"/>
          <w:szCs w:val="28"/>
        </w:rPr>
        <w:t>ПОКРОВСЬКА МІСЬКА РАДА</w:t>
      </w:r>
    </w:p>
    <w:p>
      <w:pPr>
        <w:pStyle w:val="Style17"/>
        <w:spacing w:before="0" w:after="0"/>
        <w:jc w:val="center"/>
        <w:rPr>
          <w:b/>
          <w:b/>
          <w:bCs/>
          <w:sz w:val="28"/>
          <w:szCs w:val="28"/>
        </w:rPr>
      </w:pPr>
      <w:r>
        <mc:AlternateContent>
          <mc:Choice Requires="wps">
            <w:drawing>
              <wp:anchor behindDoc="0" distT="0" distB="0" distL="0" distR="0" simplePos="0" locked="0" layoutInCell="0" allowOverlap="1" relativeHeight="2">
                <wp:simplePos x="0" y="0"/>
                <wp:positionH relativeFrom="column">
                  <wp:posOffset>16510</wp:posOffset>
                </wp:positionH>
                <wp:positionV relativeFrom="paragraph">
                  <wp:posOffset>312420</wp:posOffset>
                </wp:positionV>
                <wp:extent cx="6344285" cy="27940"/>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343560" cy="198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4.6pt" to="500.75pt,26.1pt" ID="Прямая соединительная линия 1" stroked="t" style="position:absolute">
                <v:stroke color="black" weight="17640" joinstyle="miter" endcap="flat"/>
                <v:fill o:detectmouseclick="t" on="false"/>
                <w10:wrap type="none"/>
              </v:line>
            </w:pict>
          </mc:Fallback>
        </mc:AlternateContent>
      </w:r>
      <w:r>
        <w:rPr>
          <w:b/>
          <w:bCs/>
          <w:sz w:val="28"/>
          <w:szCs w:val="28"/>
        </w:rPr>
        <w:t>ДНІПРОПЕТРОВСЬКОЇ ОБЛАСТІ</w:t>
      </w:r>
    </w:p>
    <w:p>
      <w:pPr>
        <w:pStyle w:val="Style17"/>
        <w:spacing w:before="0" w:after="0"/>
        <w:jc w:val="center"/>
        <w:rPr>
          <w:b/>
          <w:b/>
          <w:sz w:val="28"/>
          <w:szCs w:val="28"/>
        </w:rPr>
      </w:pPr>
      <w:r>
        <w:rPr>
          <w:b/>
          <w:sz w:val="28"/>
          <w:szCs w:val="28"/>
        </w:rPr>
      </w:r>
    </w:p>
    <w:p>
      <w:pPr>
        <w:pStyle w:val="Style17"/>
        <w:spacing w:before="0" w:after="0"/>
        <w:jc w:val="center"/>
        <w:rPr>
          <w:b/>
          <w:b/>
          <w:sz w:val="28"/>
          <w:szCs w:val="28"/>
        </w:rPr>
      </w:pPr>
      <w:r>
        <w:rPr>
          <w:b/>
          <w:sz w:val="28"/>
          <w:szCs w:val="28"/>
        </w:rPr>
        <w:t xml:space="preserve"> </w:t>
      </w:r>
      <w:r>
        <w:rPr>
          <w:b/>
          <w:sz w:val="28"/>
          <w:szCs w:val="28"/>
        </w:rPr>
        <w:t>РІШЕННЯ</w:t>
      </w:r>
    </w:p>
    <w:p>
      <w:pPr>
        <w:pStyle w:val="Style17"/>
        <w:spacing w:before="0" w:after="0"/>
        <w:jc w:val="center"/>
        <w:rPr>
          <w:b/>
          <w:b/>
          <w:sz w:val="28"/>
          <w:szCs w:val="28"/>
        </w:rPr>
      </w:pPr>
      <w:r>
        <w:rPr>
          <w:b/>
          <w:sz w:val="28"/>
          <w:szCs w:val="28"/>
        </w:rPr>
      </w:r>
    </w:p>
    <w:p>
      <w:pPr>
        <w:pStyle w:val="21"/>
        <w:ind w:left="0" w:right="0" w:hanging="0"/>
        <w:jc w:val="left"/>
        <w:rPr>
          <w:sz w:val="28"/>
          <w:szCs w:val="28"/>
        </w:rPr>
      </w:pPr>
      <w:r>
        <w:rPr>
          <w:rFonts w:eastAsia="Times New Roman" w:cs="Times New Roman"/>
          <w:color w:val="00000A"/>
          <w:kern w:val="0"/>
          <w:sz w:val="28"/>
          <w:szCs w:val="28"/>
          <w:lang w:val="uk-UA" w:eastAsia="zh-CN" w:bidi="ar-SA"/>
        </w:rPr>
        <w:t>28. 09. 2021</w:t>
      </w:r>
      <w:r>
        <w:rPr>
          <w:sz w:val="28"/>
          <w:szCs w:val="28"/>
        </w:rPr>
        <w:t xml:space="preserve">                                        м.Покров             </w:t>
        <w:tab/>
        <w:t xml:space="preserve"> </w:t>
        <w:tab/>
        <w:tab/>
        <w:tab/>
        <w:t xml:space="preserve">  № 20</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shd w:fill="auto" w:val="clear"/>
        </w:rPr>
        <w:t xml:space="preserve">   </w:t>
      </w:r>
      <w:r>
        <w:rPr>
          <w:rFonts w:ascii="Times New Roman" w:hAnsi="Times New Roman"/>
          <w:sz w:val="28"/>
          <w:szCs w:val="28"/>
          <w:shd w:fill="auto" w:val="clear"/>
        </w:rPr>
        <w:t>(12 сесія  8 скликання)</w:t>
      </w:r>
    </w:p>
    <w:p>
      <w:pPr>
        <w:pStyle w:val="Normal"/>
        <w:spacing w:lineRule="auto" w:line="216" w:before="0" w:after="0"/>
        <w:ind w:left="360" w:right="0" w:hanging="0"/>
        <w:jc w:val="center"/>
        <w:rPr>
          <w:rFonts w:ascii="Times New Roman" w:hAnsi="Times New Roman" w:cs="Times New Roman"/>
          <w:b w:val="false"/>
          <w:b w:val="false"/>
          <w:bCs w:val="false"/>
          <w:color w:val="3465A4"/>
          <w:sz w:val="24"/>
          <w:szCs w:val="24"/>
          <w:lang w:val="uk-UA" w:eastAsia="uk-UA" w:bidi="uk-UA"/>
        </w:rPr>
      </w:pPr>
      <w:r>
        <w:rPr>
          <w:rFonts w:cs="Times New Roman" w:ascii="Times New Roman" w:hAnsi="Times New Roman"/>
          <w:b w:val="false"/>
          <w:bCs w:val="false"/>
          <w:color w:val="3465A4"/>
          <w:sz w:val="24"/>
          <w:szCs w:val="24"/>
          <w:lang w:val="uk-UA" w:eastAsia="uk-UA" w:bidi="uk-UA"/>
        </w:rPr>
        <w:t>Із змінами, внесеними рішенням</w:t>
      </w:r>
    </w:p>
    <w:p>
      <w:pPr>
        <w:pStyle w:val="Normal"/>
        <w:spacing w:lineRule="auto" w:line="228" w:before="0" w:after="0"/>
        <w:ind w:left="360" w:right="0" w:hanging="0"/>
        <w:jc w:val="center"/>
        <w:rPr/>
      </w:pPr>
      <w:r>
        <w:rPr>
          <w:rFonts w:eastAsia="Calibri" w:cs="Times New Roman" w:ascii="Times New Roman" w:hAnsi="Times New Roman"/>
          <w:b w:val="false"/>
          <w:bCs w:val="false"/>
          <w:color w:val="3465A4"/>
          <w:kern w:val="0"/>
          <w:sz w:val="24"/>
          <w:szCs w:val="24"/>
          <w:shd w:fill="auto" w:val="clear"/>
          <w:lang w:val="uk-UA" w:eastAsia="uk-UA" w:bidi="uk-UA"/>
        </w:rPr>
        <w:t>14</w:t>
      </w:r>
      <w:r>
        <w:rPr>
          <w:rFonts w:cs="Times New Roman" w:ascii="Times New Roman" w:hAnsi="Times New Roman"/>
          <w:b w:val="false"/>
          <w:bCs w:val="false"/>
          <w:color w:val="3465A4"/>
          <w:sz w:val="24"/>
          <w:szCs w:val="24"/>
          <w:shd w:fill="auto" w:val="clear"/>
          <w:lang w:val="uk-UA" w:eastAsia="uk-UA" w:bidi="uk-UA"/>
        </w:rPr>
        <w:t xml:space="preserve"> </w:t>
      </w:r>
      <w:r>
        <w:rPr>
          <w:rFonts w:cs="Times New Roman" w:ascii="Times New Roman" w:hAnsi="Times New Roman"/>
          <w:color w:val="3465A4"/>
          <w:sz w:val="24"/>
          <w:szCs w:val="24"/>
          <w:shd w:fill="auto" w:val="clear"/>
          <w:lang w:eastAsia="uk-UA" w:bidi="uk-UA"/>
        </w:rPr>
        <w:t>сесії міської ради 8 скликання від 26.</w:t>
      </w:r>
      <w:r>
        <w:rPr>
          <w:rFonts w:eastAsia="Calibri" w:cs="Times New Roman" w:ascii="Times New Roman" w:hAnsi="Times New Roman"/>
          <w:color w:val="3465A4"/>
          <w:kern w:val="0"/>
          <w:sz w:val="24"/>
          <w:szCs w:val="24"/>
          <w:shd w:fill="auto" w:val="clear"/>
          <w:lang w:val="uk-UA" w:eastAsia="uk-UA" w:bidi="uk-UA"/>
        </w:rPr>
        <w:t>11</w:t>
      </w:r>
      <w:r>
        <w:rPr>
          <w:rFonts w:cs="Times New Roman" w:ascii="Times New Roman" w:hAnsi="Times New Roman"/>
          <w:color w:val="3465A4"/>
          <w:sz w:val="24"/>
          <w:szCs w:val="24"/>
          <w:shd w:fill="auto" w:val="clear"/>
          <w:lang w:eastAsia="uk-UA" w:bidi="uk-UA"/>
        </w:rPr>
        <w:t xml:space="preserve">.2021 № </w:t>
      </w:r>
      <w:r>
        <w:rPr>
          <w:rFonts w:eastAsia="Andale Sans UI;Arial Unicode MS" w:cs="Times New Roman" w:ascii="Times New Roman" w:hAnsi="Times New Roman"/>
          <w:color w:val="3465A4"/>
          <w:kern w:val="2"/>
          <w:sz w:val="24"/>
          <w:szCs w:val="24"/>
          <w:shd w:fill="auto" w:val="clear"/>
          <w:lang w:val="zxx" w:eastAsia="uk-UA" w:bidi="uk-UA"/>
        </w:rPr>
        <w:t>17</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16" w:before="0" w:after="200"/>
        <w:ind w:left="0" w:right="-1" w:hanging="0"/>
        <w:contextualSpacing/>
        <w:jc w:val="both"/>
        <w:rPr>
          <w:rFonts w:ascii="Times New Roman" w:hAnsi="Times New Roman" w:eastAsia="Calibri"/>
          <w:sz w:val="28"/>
          <w:szCs w:val="28"/>
        </w:rPr>
      </w:pPr>
      <w:bookmarkStart w:id="0" w:name="__DdeLink__25946_3823237788"/>
      <w:r>
        <w:rPr>
          <w:rFonts w:eastAsia="Calibri" w:ascii="Times New Roman" w:hAnsi="Times New Roman"/>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pPr>
        <w:pStyle w:val="Normal"/>
        <w:spacing w:lineRule="auto" w:line="216" w:before="0" w:after="200"/>
        <w:ind w:left="0" w:right="-1" w:hanging="0"/>
        <w:contextualSpacing/>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16" w:before="0" w:after="0"/>
        <w:ind w:left="0" w:right="57" w:firstLine="709"/>
        <w:jc w:val="both"/>
        <w:rPr>
          <w:rFonts w:ascii="Times New Roman" w:hAnsi="Times New Roman"/>
          <w:sz w:val="28"/>
          <w:szCs w:val="28"/>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 118 “Про затвердження Примірного  положення про центр надання адміністративних послуг” (із змінами), постанови Кабінету Міністрів України від 28 жовтня 2020 року         № 1035 ”Про внесення  змін до деяких постанов Кабінету Міністрів України”, 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 із змінами), Указу Президента України від 29 липня 2019 року №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міська  рада</w:t>
      </w:r>
    </w:p>
    <w:p>
      <w:pPr>
        <w:pStyle w:val="Normal"/>
        <w:spacing w:lineRule="auto" w:line="216" w:before="0" w:after="0"/>
        <w:ind w:left="0" w:right="57" w:firstLine="709"/>
        <w:jc w:val="both"/>
        <w:rPr>
          <w:rFonts w:ascii="Times New Roman" w:hAnsi="Times New Roman"/>
          <w:sz w:val="28"/>
          <w:szCs w:val="28"/>
        </w:rPr>
      </w:pPr>
      <w:r>
        <w:rPr>
          <w:rFonts w:ascii="Times New Roman" w:hAnsi="Times New Roman"/>
          <w:sz w:val="28"/>
          <w:szCs w:val="28"/>
        </w:rPr>
      </w:r>
    </w:p>
    <w:p>
      <w:pPr>
        <w:pStyle w:val="Normal"/>
        <w:spacing w:lineRule="auto" w:line="216" w:before="0" w:after="0"/>
        <w:ind w:left="0" w:right="57" w:hanging="0"/>
        <w:rPr>
          <w:rFonts w:ascii="Times New Roman" w:hAnsi="Times New Roman"/>
          <w:b/>
          <w:b/>
          <w:sz w:val="28"/>
          <w:szCs w:val="28"/>
        </w:rPr>
      </w:pPr>
      <w:r>
        <w:rPr>
          <w:rFonts w:ascii="Times New Roman" w:hAnsi="Times New Roman"/>
          <w:b/>
          <w:sz w:val="28"/>
          <w:szCs w:val="28"/>
        </w:rPr>
        <w:t>ВИРІШИЛА:</w:t>
      </w:r>
    </w:p>
    <w:p>
      <w:pPr>
        <w:pStyle w:val="Normal"/>
        <w:spacing w:lineRule="auto" w:line="216" w:before="0" w:after="0"/>
        <w:ind w:left="0" w:right="57" w:hanging="0"/>
        <w:rPr>
          <w:rFonts w:ascii="Times New Roman" w:hAnsi="Times New Roman"/>
          <w:b/>
          <w:b/>
          <w:sz w:val="28"/>
          <w:szCs w:val="28"/>
        </w:rPr>
      </w:pPr>
      <w:r>
        <w:rPr>
          <w:rFonts w:ascii="Times New Roman" w:hAnsi="Times New Roman"/>
          <w:b/>
          <w:sz w:val="28"/>
          <w:szCs w:val="28"/>
        </w:rPr>
      </w:r>
    </w:p>
    <w:p>
      <w:pPr>
        <w:pStyle w:val="Normal"/>
        <w:spacing w:lineRule="auto" w:line="216" w:before="0" w:after="0"/>
        <w:ind w:left="0"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16" w:before="0" w:after="0"/>
        <w:ind w:left="0" w:right="57" w:hanging="0"/>
        <w:jc w:val="both"/>
        <w:rPr>
          <w:shd w:fill="auto" w:val="clear"/>
        </w:rPr>
      </w:pPr>
      <w:r>
        <w:rPr>
          <w:rFonts w:ascii="Times New Roman" w:hAnsi="Times New Roman"/>
          <w:b w:val="false"/>
          <w:bCs w:val="false"/>
          <w:sz w:val="28"/>
          <w:szCs w:val="28"/>
          <w:shd w:fill="auto" w:val="clear"/>
          <w:lang w:val="uk-UA"/>
        </w:rPr>
        <w:t xml:space="preserve">   </w:t>
      </w:r>
      <w:r>
        <w:rPr>
          <w:rFonts w:ascii="Times New Roman" w:hAnsi="Times New Roman"/>
          <w:b w:val="false"/>
          <w:bCs w:val="false"/>
          <w:sz w:val="28"/>
          <w:szCs w:val="28"/>
          <w:shd w:fill="auto" w:val="clear"/>
          <w:lang w:val="uk-UA"/>
        </w:rPr>
        <w:t>2.Суб’єктам надання послуг привести у відповідність інформаційні та технологічні картки послуг, які надаються через ЦНАП.</w:t>
      </w:r>
    </w:p>
    <w:p>
      <w:pPr>
        <w:pStyle w:val="Style22"/>
        <w:tabs>
          <w:tab w:val="clear" w:pos="709"/>
          <w:tab w:val="left" w:pos="0" w:leader="none"/>
          <w:tab w:val="left" w:pos="567" w:leader="none"/>
          <w:tab w:val="left" w:pos="993" w:leader="none"/>
        </w:tabs>
        <w:suppressAutoHyphens w:val="true"/>
        <w:spacing w:lineRule="auto" w:line="216" w:before="0" w:after="0"/>
        <w:ind w:left="0" w:right="0" w:firstLine="567"/>
        <w:contextualSpacing/>
        <w:jc w:val="both"/>
        <w:rPr/>
      </w:pPr>
      <w:r>
        <w:rPr>
          <w:rFonts w:ascii="Times New Roman" w:hAnsi="Times New Roman"/>
          <w:sz w:val="28"/>
          <w:szCs w:val="28"/>
          <w:lang w:val="uk-UA"/>
        </w:rPr>
        <w:t xml:space="preserve">3.Визнати таким, що втратило чинність рішення 6 сесії міської ради 8 скликання від 30.04.2021 № 29 (із змінами). </w:t>
      </w:r>
    </w:p>
    <w:p>
      <w:pPr>
        <w:pStyle w:val="Style22"/>
        <w:widowControl/>
        <w:tabs>
          <w:tab w:val="clear" w:pos="709"/>
          <w:tab w:val="left" w:pos="0" w:leader="none"/>
        </w:tabs>
        <w:suppressAutoHyphens w:val="false"/>
        <w:bidi w:val="0"/>
        <w:spacing w:lineRule="auto" w:line="240"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t>4.Координацію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2"/>
        <w:tabs>
          <w:tab w:val="clear" w:pos="709"/>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t xml:space="preserve"> </w:t>
      </w:r>
    </w:p>
    <w:p>
      <w:pPr>
        <w:pStyle w:val="Style17"/>
        <w:widowControl/>
        <w:tabs>
          <w:tab w:val="clear" w:pos="709"/>
          <w:tab w:val="left" w:pos="0" w:leader="none"/>
        </w:tabs>
        <w:suppressAutoHyphens w:val="true"/>
        <w:bidi w:val="0"/>
        <w:spacing w:lineRule="atLeast" w:line="330" w:before="225" w:after="225"/>
        <w:ind w:left="0" w:right="0" w:hanging="0"/>
        <w:contextualSpacing/>
        <w:jc w:val="both"/>
        <w:rPr/>
      </w:pPr>
      <w:r>
        <w:rPr>
          <w:rFonts w:cs="Times New Roman"/>
          <w:b w:val="false"/>
          <w:i w:val="false"/>
          <w:caps w:val="false"/>
          <w:smallCaps w:val="false"/>
          <w:strike w:val="false"/>
          <w:dstrike w:val="false"/>
          <w:color w:val="000000"/>
          <w:spacing w:val="0"/>
          <w:sz w:val="28"/>
          <w:szCs w:val="28"/>
          <w:u w:val="none"/>
          <w:lang w:val="uk-UA"/>
        </w:rPr>
        <w:t>Міський голова</w:t>
        <w:tab/>
        <w:tab/>
        <w:tab/>
        <w:tab/>
        <w:tab/>
        <w:tab/>
        <w:tab/>
        <w:tab/>
        <w:tab/>
        <w:t>О.М. Шаповал</w:t>
      </w:r>
    </w:p>
    <w:p>
      <w:pPr>
        <w:pStyle w:val="Style17"/>
        <w:widowControl/>
        <w:tabs>
          <w:tab w:val="clear" w:pos="709"/>
          <w:tab w:val="left" w:pos="0" w:leader="none"/>
        </w:tabs>
        <w:suppressAutoHyphens w:val="true"/>
        <w:bidi w:val="0"/>
        <w:spacing w:lineRule="atLeast" w:line="330" w:before="225" w:after="225"/>
        <w:ind w:left="0" w:right="0" w:hanging="0"/>
        <w:contextualSpacing/>
        <w:jc w:val="both"/>
        <w:rPr/>
      </w:pPr>
      <w:bookmarkStart w:id="1" w:name="__DdeLink__2603_1371176828"/>
      <w:r>
        <w:rPr>
          <w:sz w:val="20"/>
          <w:szCs w:val="20"/>
          <w:lang w:val="uk-UA"/>
        </w:rPr>
        <w:t>Клочковська,42031</w:t>
      </w:r>
      <w:bookmarkEnd w:id="1"/>
    </w:p>
    <w:p>
      <w:pPr>
        <w:pStyle w:val="Style22"/>
        <w:tabs>
          <w:tab w:val="clear" w:pos="709"/>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Style22"/>
        <w:tabs>
          <w:tab w:val="clear" w:pos="709"/>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Normal"/>
        <w:pageBreakBefore w:val="false"/>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12 сесії  міської ради</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tab/>
        <w:tab/>
        <w:tab/>
        <w:tab/>
        <w:tab/>
        <w:tab/>
        <w:t xml:space="preserve">      8 скликання </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28” вересня   2021 р.  № 20</w:t>
      </w:r>
      <w:r>
        <w:rPr>
          <w:rFonts w:cs="Times New Roman" w:ascii="Times New Roman" w:hAnsi="Times New Roman"/>
          <w:b w:val="false"/>
          <w:bCs w:val="false"/>
          <w:color w:val="3465A4"/>
          <w:sz w:val="22"/>
          <w:szCs w:val="22"/>
          <w:lang w:val="uk-UA"/>
        </w:rPr>
        <w:tab/>
        <w:tab/>
        <w:tab/>
        <w:tab/>
        <w:tab/>
        <w:tab/>
        <w:tab/>
        <w:t xml:space="preserve">    </w:t>
        <w:tab/>
        <w:tab/>
        <w:t xml:space="preserve"> І</w:t>
      </w:r>
      <w:r>
        <w:rPr>
          <w:rFonts w:ascii="Times New Roman" w:hAnsi="Times New Roman"/>
          <w:color w:val="3465A4"/>
          <w:sz w:val="22"/>
          <w:szCs w:val="22"/>
          <w:lang w:val="uk-UA"/>
        </w:rPr>
        <w:t>з змінами, внесеними рішенням</w:t>
      </w:r>
      <w:r>
        <w:rPr>
          <w:rFonts w:eastAsia="Times New Roman" w:cs="Times New Roman" w:ascii="Times New Roman" w:hAnsi="Times New Roman"/>
          <w:color w:val="3465A4"/>
          <w:sz w:val="22"/>
          <w:szCs w:val="22"/>
          <w:u w:val="none"/>
          <w:lang w:val="uk-UA" w:eastAsia="ar-SA"/>
        </w:rPr>
        <w:t xml:space="preserve">   </w:t>
      </w:r>
    </w:p>
    <w:p>
      <w:pPr>
        <w:pStyle w:val="Normal"/>
        <w:widowControl/>
        <w:suppressAutoHyphens w:val="true"/>
        <w:bidi w:val="0"/>
        <w:spacing w:lineRule="auto" w:line="240" w:before="0" w:after="0"/>
        <w:ind w:left="0" w:right="0" w:hanging="0"/>
        <w:jc w:val="left"/>
        <w:rPr/>
      </w:pPr>
      <w:r>
        <w:rPr>
          <w:rFonts w:eastAsia="Times New Roman" w:cs="Times New Roman" w:ascii="Times New Roman" w:hAnsi="Times New Roman"/>
          <w:color w:val="3465A4"/>
          <w:sz w:val="22"/>
          <w:szCs w:val="22"/>
          <w:u w:val="none"/>
          <w:lang w:val="uk-UA" w:eastAsia="ar-SA"/>
        </w:rPr>
        <w:tab/>
        <w:tab/>
        <w:tab/>
        <w:tab/>
        <w:tab/>
        <w:tab/>
        <w:tab/>
        <w:tab/>
        <w:t xml:space="preserve">          </w:t>
      </w:r>
      <w:r>
        <w:rPr>
          <w:rFonts w:eastAsia="Times New Roman" w:cs="Times New Roman" w:ascii="Times New Roman" w:hAnsi="Times New Roman"/>
          <w:color w:val="3465A4"/>
          <w:kern w:val="0"/>
          <w:sz w:val="22"/>
          <w:szCs w:val="22"/>
          <w:u w:val="none"/>
          <w:lang w:val="uk-UA" w:eastAsia="ar-SA" w:bidi="ar-SA"/>
        </w:rPr>
        <w:t>17</w:t>
      </w:r>
      <w:r>
        <w:rPr>
          <w:rFonts w:eastAsia="Times New Roman" w:cs="Times New Roman" w:ascii="Times New Roman" w:hAnsi="Times New Roman"/>
          <w:color w:val="3465A4"/>
          <w:sz w:val="22"/>
          <w:szCs w:val="22"/>
          <w:u w:val="none"/>
          <w:lang w:val="uk-UA" w:eastAsia="ar-SA"/>
        </w:rPr>
        <w:t>-14-8 від 26.11.2021</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widowControl/>
        <w:suppressAutoHyphens w:val="true"/>
        <w:bidi w:val="0"/>
        <w:spacing w:lineRule="auto" w:line="240" w:before="0" w:after="0"/>
        <w:ind w:left="567" w:right="0" w:hanging="0"/>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r>
        <w:rPr>
          <w:rFonts w:eastAsia="Times New Roman" w:cs="Times New Roman" w:ascii="Times New Roman" w:hAnsi="Times New Roman"/>
          <w:color w:val="000000"/>
          <w:sz w:val="24"/>
          <w:szCs w:val="24"/>
        </w:rPr>
        <w:t xml:space="preserve">             </w:t>
      </w:r>
    </w:p>
    <w:tbl>
      <w:tblPr>
        <w:tblW w:w="10305" w:type="dxa"/>
        <w:jc w:val="left"/>
        <w:tblInd w:w="-455" w:type="dxa"/>
        <w:tblLayout w:type="fixed"/>
        <w:tblCellMar>
          <w:top w:w="0" w:type="dxa"/>
          <w:left w:w="103" w:type="dxa"/>
          <w:bottom w:w="0" w:type="dxa"/>
          <w:right w:w="108" w:type="dxa"/>
        </w:tblCellMar>
      </w:tblPr>
      <w:tblGrid>
        <w:gridCol w:w="612"/>
        <w:gridCol w:w="847"/>
        <w:gridCol w:w="8846"/>
      </w:tblGrid>
      <w:tr>
        <w:trPr>
          <w:trHeight w:val="1245"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709"/>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709"/>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9"/>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709"/>
                <w:tab w:val="left" w:pos="426" w:leader="none"/>
              </w:tabs>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Надання містобудівних умов та обмежень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709"/>
                <w:tab w:val="left" w:pos="426" w:leader="none"/>
              </w:tabs>
              <w:suppressAutoHyphens w:val="true"/>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709"/>
                <w:tab w:val="left" w:pos="426" w:leader="none"/>
              </w:tabs>
              <w:suppressAutoHyphens w:val="true"/>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забудови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01-4</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3"/>
              <w:widowControl w:val="false"/>
              <w:tabs>
                <w:tab w:val="clear" w:pos="709"/>
                <w:tab w:val="center" w:pos="4153" w:leader="none"/>
                <w:tab w:val="right" w:pos="8306" w:leader="none"/>
              </w:tabs>
              <w:spacing w:before="0" w:after="0"/>
              <w:ind w:left="0" w:right="0" w:hanging="0"/>
              <w:contextualSpacing/>
              <w:rPr>
                <w:color w:val="000000"/>
                <w:sz w:val="24"/>
                <w:lang w:eastAsia="uk-UA" w:bidi="uk-UA"/>
              </w:rPr>
            </w:pPr>
            <w:r>
              <w:rPr>
                <w:color w:val="000000"/>
                <w:sz w:val="24"/>
                <w:szCs w:val="24"/>
                <w:lang w:eastAsia="uk-UA" w:bidi="uk-UA"/>
              </w:rPr>
              <w:t>Оформлення паспорта прив'язки тимчасової споруди для провадження підприємницької діяльності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01-5</w:t>
            </w:r>
          </w:p>
        </w:tc>
        <w:tc>
          <w:tcPr>
            <w:tcW w:w="8846"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709"/>
                <w:tab w:val="center" w:pos="4153" w:leader="none"/>
                <w:tab w:val="right" w:pos="8306" w:leader="none"/>
              </w:tabs>
              <w:spacing w:before="0" w:after="0"/>
              <w:ind w:left="0" w:right="0" w:hanging="0"/>
              <w:contextualSpacing/>
              <w:rPr>
                <w:rFonts w:ascii="Times New Roman" w:hAnsi="Times New Roman"/>
                <w:sz w:val="24"/>
                <w:szCs w:val="24"/>
              </w:rPr>
            </w:pPr>
            <w:r>
              <w:rPr>
                <w:sz w:val="24"/>
                <w:szCs w:val="24"/>
              </w:rPr>
              <w:t xml:space="preserve">Внесення змін до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01-6</w:t>
            </w:r>
          </w:p>
        </w:tc>
        <w:tc>
          <w:tcPr>
            <w:tcW w:w="8846"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709"/>
                <w:tab w:val="center" w:pos="4153" w:leader="none"/>
                <w:tab w:val="right" w:pos="8306" w:leader="none"/>
              </w:tabs>
              <w:spacing w:before="0" w:after="0"/>
              <w:ind w:left="0" w:right="0" w:hanging="0"/>
              <w:contextualSpacing/>
              <w:rPr>
                <w:rFonts w:ascii="Times New Roman" w:hAnsi="Times New Roman"/>
                <w:sz w:val="24"/>
                <w:szCs w:val="24"/>
              </w:rPr>
            </w:pPr>
            <w:r>
              <w:rPr>
                <w:sz w:val="24"/>
                <w:szCs w:val="24"/>
              </w:rPr>
              <w:t xml:space="preserve">Продовження строку дії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426" w:leader="none"/>
              </w:tabs>
              <w:spacing w:before="0" w:after="200"/>
              <w:jc w:val="both"/>
              <w:rPr>
                <w:rFonts w:ascii="Times New Roman" w:hAnsi="Times New Roman"/>
                <w:sz w:val="24"/>
                <w:szCs w:val="24"/>
              </w:rPr>
            </w:pPr>
            <w:r>
              <w:rPr>
                <w:rFonts w:cs="Times New Roman" w:ascii="Times New Roman" w:hAnsi="Times New Roman"/>
                <w:sz w:val="24"/>
                <w:szCs w:val="24"/>
                <w:lang w:val="uk-UA"/>
              </w:rPr>
              <w:t xml:space="preserve">Зміна адреси закінченого будівництвом об'єкту у разі об'єднання, </w:t>
            </w:r>
            <w:r>
              <w:rPr>
                <w:rFonts w:cs="Times New Roman" w:ascii="Times New Roman" w:hAnsi="Times New Roman"/>
                <w:color w:val="000000"/>
                <w:sz w:val="24"/>
                <w:szCs w:val="24"/>
                <w:lang w:val="uk-UA" w:eastAsia="uk-UA" w:bidi="uk-UA"/>
              </w:rPr>
              <w:t>поділу або виділення частки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01-8</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709"/>
                <w:tab w:val="left" w:pos="426" w:leader="none"/>
              </w:tabs>
              <w:ind w:left="0" w:hanging="0"/>
              <w:jc w:val="both"/>
              <w:rPr>
                <w:rFonts w:ascii="Times New Roman" w:hAnsi="Times New Roman"/>
                <w:color w:val="000000"/>
                <w:sz w:val="24"/>
                <w:szCs w:val="24"/>
                <w:lang w:eastAsia="uk-UA" w:bidi="uk-UA"/>
              </w:rPr>
            </w:pPr>
            <w:r>
              <w:rPr>
                <w:rFonts w:cs="Times New Roman" w:ascii="Times New Roman" w:hAnsi="Times New Roman"/>
                <w:color w:val="000000"/>
                <w:sz w:val="24"/>
                <w:szCs w:val="24"/>
                <w:lang w:val="uk-UA" w:eastAsia="uk-UA" w:bidi="uk-UA"/>
              </w:rPr>
              <w:t>Зміна/коригування нумерації об'єктів нерухомого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86"/>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709"/>
                <w:tab w:val="left" w:pos="426" w:leader="none"/>
              </w:tabs>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01-11</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Переоформлення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01-12</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Продовження дії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01-13</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Анулювання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01-14</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Видача дубліката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01-15</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01-16</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3"/>
              <w:widowControl w:val="false"/>
              <w:tabs>
                <w:tab w:val="clear" w:pos="709"/>
                <w:tab w:val="left" w:pos="390" w:leader="none"/>
                <w:tab w:val="left" w:pos="510" w:leader="none"/>
                <w:tab w:val="center" w:pos="4153" w:leader="none"/>
                <w:tab w:val="right" w:pos="8306" w:leader="none"/>
              </w:tabs>
              <w:ind w:left="0" w:right="0" w:hanging="0"/>
              <w:rPr>
                <w:color w:val="000000"/>
                <w:sz w:val="24"/>
                <w:lang w:eastAsia="uk-UA" w:bidi="uk-UA"/>
              </w:rPr>
            </w:pPr>
            <w:r>
              <w:rPr>
                <w:color w:val="000000"/>
                <w:sz w:val="24"/>
                <w:szCs w:val="24"/>
                <w:lang w:eastAsia="uk-UA" w:bidi="uk-UA"/>
              </w:rPr>
              <w:t>Видача  будівельного паспорту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01-17</w:t>
            </w:r>
          </w:p>
        </w:tc>
        <w:tc>
          <w:tcPr>
            <w:tcW w:w="8846"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709"/>
                <w:tab w:val="left" w:pos="390" w:leader="none"/>
                <w:tab w:val="left" w:pos="510" w:leader="none"/>
                <w:tab w:val="center" w:pos="4153" w:leader="none"/>
                <w:tab w:val="right" w:pos="8306" w:leader="none"/>
              </w:tabs>
              <w:ind w:left="0" w:right="0" w:hanging="0"/>
              <w:rPr>
                <w:rFonts w:ascii="Times New Roman" w:hAnsi="Times New Roman"/>
                <w:sz w:val="24"/>
                <w:szCs w:val="24"/>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01-18</w:t>
            </w:r>
          </w:p>
        </w:tc>
        <w:tc>
          <w:tcPr>
            <w:tcW w:w="8846"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709"/>
                <w:tab w:val="left" w:pos="390" w:leader="none"/>
                <w:tab w:val="left" w:pos="510" w:leader="none"/>
                <w:tab w:val="center" w:pos="4153" w:leader="none"/>
                <w:tab w:val="right" w:pos="8306" w:leader="none"/>
              </w:tabs>
              <w:ind w:left="0" w:right="0" w:hanging="0"/>
              <w:rPr>
                <w:rFonts w:ascii="Times New Roman" w:hAnsi="Times New Roman"/>
                <w:sz w:val="24"/>
                <w:szCs w:val="24"/>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01-19</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sz w:val="24"/>
                <w:szCs w:val="24"/>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01-20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3"/>
              <w:widowControl w:val="false"/>
              <w:tabs>
                <w:tab w:val="clear" w:pos="709"/>
                <w:tab w:val="center" w:pos="4153" w:leader="none"/>
                <w:tab w:val="right" w:pos="8306" w:leader="none"/>
              </w:tabs>
              <w:ind w:left="0" w:right="0" w:hanging="0"/>
              <w:rPr>
                <w:color w:val="000000"/>
                <w:sz w:val="24"/>
                <w:lang w:eastAsia="uk-UA" w:bidi="uk-UA"/>
              </w:rPr>
            </w:pPr>
            <w:r>
              <w:rPr>
                <w:color w:val="000000"/>
                <w:sz w:val="24"/>
                <w:szCs w:val="24"/>
                <w:lang w:eastAsia="uk-UA" w:bidi="uk-UA"/>
              </w:rPr>
              <w:t>Внесення змін до повідомлення про початок виконання підготовчих робіт</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01-21</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01-22</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709"/>
                <w:tab w:val="left" w:pos="426" w:leader="none"/>
              </w:tabs>
              <w:suppressAutoHyphens w:val="true"/>
              <w:spacing w:lineRule="auto" w:line="240" w:before="0" w:after="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01-23</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01-24</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709"/>
                <w:tab w:val="left" w:pos="426" w:leader="none"/>
              </w:tabs>
              <w:suppressAutoHyphens w:val="true"/>
              <w:spacing w:lineRule="auto" w:line="240" w:before="0" w:after="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01-25</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01-26</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01-27</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01-28</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01-29</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left" w:pos="0" w:leader="none"/>
              </w:tabs>
              <w:suppressAutoHyphens w:val="true"/>
              <w:spacing w:lineRule="auto" w:line="240" w:before="0" w:after="0"/>
              <w:contextualSpacing/>
              <w:jc w:val="both"/>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01-30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left" w:pos="426" w:leader="none"/>
              </w:tabs>
              <w:spacing w:before="0" w:after="200"/>
              <w:jc w:val="both"/>
              <w:rPr>
                <w:rFonts w:ascii="Times New Roman" w:hAnsi="Times New Roman"/>
                <w:sz w:val="24"/>
                <w:szCs w:val="24"/>
              </w:rPr>
            </w:pPr>
            <w:r>
              <w:rPr>
                <w:rFonts w:cs="Times New Roman" w:ascii="Times New Roman" w:hAnsi="Times New Roman"/>
                <w:sz w:val="24"/>
                <w:szCs w:val="24"/>
                <w:lang w:val="uk-UA"/>
              </w:rPr>
              <w:t xml:space="preserve">Внесення змін до декларації про готовність об'єкта до експлуатації </w:t>
            </w:r>
            <w:r>
              <w:rPr>
                <w:rFonts w:eastAsia="Times New Roman" w:cs="Times New Roman" w:ascii="Times New Roman" w:hAnsi="Times New Roman"/>
                <w:bCs/>
                <w:color w:val="00000A"/>
                <w:sz w:val="24"/>
                <w:szCs w:val="24"/>
                <w:highlight w:val="white"/>
                <w:lang w:val="uk-UA"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01-31</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709"/>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закінченому будівництвом об'єкту (після прийняття в експлуатацію)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01-32</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709"/>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об'єкту будівництва після отримання права на виконання будівельних робіт</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01-33</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709"/>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rHeight w:val="20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02  Відділ землекористування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val="en-US" w:eastAsia="en-US"/>
              </w:rPr>
              <w:t>34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35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val="en-US" w:eastAsia="en-US"/>
              </w:rPr>
            </w:pPr>
            <w:r>
              <w:rPr>
                <w:rFonts w:cs="Times New Roman" w:ascii="Times New Roman" w:hAnsi="Times New Roman"/>
                <w:color w:val="000000"/>
                <w:sz w:val="24"/>
                <w:szCs w:val="24"/>
                <w:lang w:val="en-US" w:eastAsia="en-US"/>
              </w:rPr>
              <w:t>36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cs="Times New Roman" w:ascii="Times New Roman" w:hAnsi="Times New Roman"/>
                <w:color w:val="000000"/>
                <w:sz w:val="24"/>
                <w:szCs w:val="24"/>
                <w:lang w:eastAsia="en-US"/>
              </w:rPr>
              <w:t>02-3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37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Надання згоди на передачу орендованої земельної ділянки в суборенду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38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39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проекту землеустрою щодо відведення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49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поновлення договору оренди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50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9"/>
                <w:tab w:val="center" w:pos="4153" w:leader="none"/>
                <w:tab w:val="right" w:pos="8306" w:leader="none"/>
              </w:tabs>
              <w:spacing w:lineRule="auto" w:line="216" w:before="0" w:after="0"/>
              <w:ind w:left="-76" w:right="0" w:hanging="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eastAsia="en-US"/>
              </w:rPr>
              <w:t>51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86"/>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згоди на перенесення поховання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04    Реєстраційний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287"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55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 підприємцем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59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61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pPr>
            <w:r>
              <w:rPr>
                <w:rFonts w:cs="Times New Roman"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0"/>
              <w:contextualSpacing/>
              <w:jc w:val="both"/>
              <w:rPr/>
            </w:pPr>
            <w:bookmarkStart w:id="2" w:name="n133"/>
            <w:bookmarkEnd w:id="2"/>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143"/>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709"/>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ind w:left="0" w:right="0" w:hanging="16"/>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проживання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Зняття з реєстрації місця проживання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85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lang w:val="en-US"/>
              </w:rPr>
            </w:pPr>
            <w:r>
              <w:rPr>
                <w:rFonts w:cs="Times New Roman" w:ascii="Times New Roman" w:hAnsi="Times New Roman"/>
                <w:sz w:val="24"/>
                <w:szCs w:val="24"/>
                <w:lang w:val="en-US"/>
              </w:rPr>
              <w:t>87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lang w:val="en-US"/>
              </w:rPr>
              <w:t>88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04-37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jc w:val="both"/>
              <w:rPr>
                <w:rFonts w:ascii="Times New Roman" w:hAnsi="Times New Roman"/>
                <w:color w:val="000000"/>
                <w:sz w:val="24"/>
                <w:szCs w:val="24"/>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90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ind w:left="-108" w:righ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lang w:val="en-US"/>
              </w:rPr>
            </w:pPr>
            <w:r>
              <w:rPr>
                <w:rFonts w:cs="Times New Roman" w:ascii="Times New Roman" w:hAnsi="Times New Roman"/>
                <w:color w:val="000000"/>
                <w:sz w:val="24"/>
                <w:szCs w:val="24"/>
                <w:lang w:val="en-US"/>
              </w:rPr>
              <w:t>97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соціальний квартирний облік</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lang w:val="en-US"/>
              </w:rPr>
            </w:pPr>
            <w:r>
              <w:rPr>
                <w:lang w:val="en-US"/>
              </w:rPr>
              <w:t>98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sz w:val="24"/>
                <w:szCs w:val="24"/>
              </w:rPr>
            </w:pPr>
            <w:r>
              <w:rPr>
                <w:sz w:val="24"/>
                <w:szCs w:val="24"/>
              </w:rPr>
              <w:t>07-6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довідки про невикористання житлових чеків для приватизації державного житлового фонду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lang w:val="en-US"/>
              </w:rPr>
            </w:pPr>
            <w:r>
              <w:rPr>
                <w:lang w:val="en-US"/>
              </w:rPr>
              <w:t>99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sz w:val="24"/>
                <w:szCs w:val="24"/>
              </w:rPr>
            </w:pPr>
            <w:r>
              <w:rPr>
                <w:sz w:val="24"/>
                <w:szCs w:val="24"/>
              </w:rPr>
              <w:t>07-7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свідоцтва про право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lang w:val="en-US"/>
              </w:rPr>
            </w:pPr>
            <w:r>
              <w:rPr>
                <w:lang w:val="en-US"/>
              </w:rPr>
              <w:t>100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07-8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дубліката свідоцтва про право власності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101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102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pPr>
            <w:r>
              <w:rPr>
                <w:rFonts w:ascii="Times New Roman" w:hAnsi="Times New Roman"/>
                <w:sz w:val="24"/>
                <w:szCs w:val="24"/>
              </w:rPr>
              <w:t>103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Призначення пільги на оплату житла, комунальних послуг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107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108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before="0" w:after="0"/>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119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pPr>
            <w:r>
              <w:rPr>
                <w:rFonts w:cs="Times New Roman" w:ascii="Times New Roman" w:hAnsi="Times New Roman"/>
                <w:color w:val="000000"/>
                <w:sz w:val="24"/>
                <w:szCs w:val="24"/>
              </w:rPr>
              <w:t>127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129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pPr>
            <w:r>
              <w:rPr>
                <w:rFonts w:cs="Times New Roman" w:ascii="Times New Roman" w:hAnsi="Times New Roman"/>
                <w:color w:val="000000"/>
                <w:sz w:val="24"/>
                <w:szCs w:val="24"/>
              </w:rPr>
              <w:t>131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139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rFonts w:ascii="Times New Roman" w:hAnsi="Times New Roman" w:cs="Times New Roman"/>
                <w:b w:val="false"/>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140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uppressAutoHyphens w:val="true"/>
              <w:bidi w:val="0"/>
              <w:spacing w:lineRule="auto" w:line="216" w:before="0" w:after="0"/>
              <w:ind w:left="0" w:right="0" w:hanging="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149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p>
            <w:pPr>
              <w:pStyle w:val="Normal"/>
              <w:widowControl w:val="false"/>
              <w:tabs>
                <w:tab w:val="clear" w:pos="709"/>
                <w:tab w:val="center" w:pos="4153" w:leader="none"/>
                <w:tab w:val="right" w:pos="8306" w:leader="none"/>
              </w:tabs>
              <w:spacing w:lineRule="auto" w:line="216" w:before="0" w:after="0"/>
              <w:contextualSpacing/>
              <w:jc w:val="both"/>
              <w:rPr/>
            </w:pPr>
            <w:r>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159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160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161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162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p>
            <w:pPr>
              <w:pStyle w:val="Normal"/>
              <w:widowControl w:val="false"/>
              <w:tabs>
                <w:tab w:val="clear" w:pos="709"/>
                <w:tab w:val="center" w:pos="4153" w:leader="none"/>
                <w:tab w:val="right" w:pos="8306" w:leader="none"/>
              </w:tabs>
              <w:spacing w:lineRule="auto" w:line="216" w:before="0" w:after="0"/>
              <w:contextualSpacing/>
              <w:jc w:val="both"/>
              <w:rPr/>
            </w:pPr>
            <w:r>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163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164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165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Призначення та виплата компенсації послуги з догляду за дитиною до трьох років “муніципальна няня”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для отримання послуг з соціальної та професійної адаптації</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Надання статусу постраждалого учасника Революції Гідності</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Позбавлення статусу постраждалого учасника Революції Гідності за заявою особи</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довідки про взяття на облік внутрішньо переміщеної особи</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Вклейка фотокартки в посвідчення дитини з багатодітної сім’ї у зв’язку з досягненням 14-річного віку</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дубліката посвідчення батьків багатодітної сім’ї та дитини з багатодітної сім’ї</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Продовження строку дії посвідчень батьків багатодітної сім’ї та дитини з багатодітної сім’ї</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грошової компенсації вартості одноразової натуральної допомоги “пакунок малюка”</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Компенсація вартості продуктів харчування громадянам, які постраждали внаслідок Чорнобильської катастрофи</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Повідомна реєстрація галузевих (міжгалузевих) і територіальних угод, колективних договорів</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Виплата одноразової матеріальної допомоги особам, які постраждали від торгівлі людьми</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1030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184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30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86"/>
              <w:contextualSpacing/>
              <w:jc w:val="both"/>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rPr>
              <w:t>185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186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sz w:val="24"/>
                <w:szCs w:val="24"/>
                <w:lang w:eastAsia="en-US"/>
              </w:rPr>
              <w:t xml:space="preserve">Вклеювання до паспорта громадянина України </w:t>
            </w:r>
            <w:r>
              <w:rPr>
                <w:rFonts w:cs="Times New Roman" w:ascii="Times New Roman" w:hAnsi="Times New Roman"/>
                <w:sz w:val="24"/>
                <w:szCs w:val="24"/>
                <w:lang w:val="uk-UA" w:eastAsia="en-US"/>
              </w:rPr>
              <w:t>(зразка 1994 року)</w:t>
            </w:r>
            <w:r>
              <w:rPr>
                <w:rFonts w:cs="Times New Roman" w:ascii="Times New Roman" w:hAnsi="Times New Roman"/>
                <w:sz w:val="24"/>
                <w:szCs w:val="24"/>
                <w:lang w:eastAsia="en-US"/>
              </w:rPr>
              <w:t xml:space="preserve"> фотокартки при досягненні громадянином 25- і 45-річного віку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187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188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189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11-6</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11-7</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11-8</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11-9</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11-10</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11-11</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посвідки на постійне проживання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11-12</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у зв’язку із втратою або викраденням посвідки на постійне проживання, її обміну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11-13</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6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посвідки на тимчасове проживання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199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11-14</w:t>
            </w:r>
          </w:p>
        </w:tc>
        <w:tc>
          <w:tcPr>
            <w:tcW w:w="8846" w:type="dxa"/>
            <w:tcBorders>
              <w:left w:val="single" w:sz="4" w:space="0" w:color="000001"/>
              <w:bottom w:val="single" w:sz="4" w:space="0" w:color="000001"/>
              <w:right w:val="single" w:sz="4" w:space="0" w:color="000001"/>
            </w:tcBorders>
            <w:shd w:fill="auto" w:val="clear"/>
          </w:tcPr>
          <w:p>
            <w:pPr>
              <w:pStyle w:val="Style26"/>
              <w:widowControl w:val="false"/>
              <w:spacing w:lineRule="auto" w:line="228" w:before="6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у зв’язку із втратою або викраденням посвідки на тимчасове проживання, її обміну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pPr>
            <w:bookmarkStart w:id="3" w:name="__DdeLink__8288_3323727877"/>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cs="Times New Roman"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209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eastAsia="Calibri" w:cs="Times New Roman" w:ascii="Times New Roman" w:hAnsi="Times New Roman"/>
                <w:color w:val="00000A"/>
                <w:kern w:val="0"/>
                <w:sz w:val="24"/>
                <w:szCs w:val="24"/>
                <w:lang w:val="uk-UA" w:eastAsia="zh-CN" w:bidi="ar-SA"/>
              </w:rPr>
              <w:t>210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211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212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213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00"/>
              <w:contextualSpacing/>
              <w:jc w:val="both"/>
              <w:rPr>
                <w:rFonts w:ascii="Times New Roman" w:hAnsi="Times New Roman" w:cs="Times New Roman"/>
                <w:sz w:val="24"/>
                <w:szCs w:val="24"/>
              </w:rPr>
            </w:pPr>
            <w:bookmarkStart w:id="4"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4"/>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214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ascii="Times New Roman" w:hAnsi="Times New Roman"/>
                <w:sz w:val="24"/>
                <w:szCs w:val="24"/>
              </w:rPr>
              <w:t>12-15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215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216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12-17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217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12-18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pacing w:before="0" w:after="29"/>
              <w:contextualSpacing/>
              <w:jc w:val="both"/>
              <w:rPr/>
            </w:pPr>
            <w:r>
              <w:rPr>
                <w:rFonts w:cs="Times New Roman"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t>218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color w:val="3465A4"/>
              </w:rPr>
            </w:pPr>
            <w:r>
              <w:rPr>
                <w:color w:val="3465A4"/>
              </w:rPr>
              <w:t>12-19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4500" w:leader="none"/>
              </w:tabs>
              <w:suppressAutoHyphens w:val="true"/>
              <w:bidi w:val="0"/>
              <w:spacing w:lineRule="auto" w:line="228" w:before="0" w:after="143"/>
              <w:ind w:left="0" w:right="0" w:hanging="0"/>
              <w:contextualSpacing/>
              <w:jc w:val="both"/>
              <w:rPr>
                <w:color w:val="3465A4"/>
                <w:sz w:val="24"/>
                <w:szCs w:val="24"/>
              </w:rPr>
            </w:pPr>
            <w:r>
              <w:rPr>
                <w:rFonts w:cs="Times New Roman" w:ascii="Times New Roman" w:hAnsi="Times New Roman"/>
                <w:b w:val="false"/>
                <w:bCs w:val="false"/>
                <w:color w:val="3465A4"/>
                <w:sz w:val="24"/>
                <w:szCs w:val="24"/>
                <w:lang w:val="uk-UA"/>
              </w:rPr>
              <w:t>Виправлення технічної помилки у відомостях Державного земельного кадастру не з вини органу, що здійснює його ведення</w:t>
            </w:r>
          </w:p>
          <w:p>
            <w:pPr>
              <w:pStyle w:val="Normal"/>
              <w:widowControl w:val="false"/>
              <w:tabs>
                <w:tab w:val="clear" w:pos="709"/>
                <w:tab w:val="left" w:pos="4500" w:leader="none"/>
              </w:tabs>
              <w:suppressAutoHyphens w:val="true"/>
              <w:bidi w:val="0"/>
              <w:spacing w:lineRule="auto" w:line="228" w:before="0" w:after="143"/>
              <w:ind w:left="0" w:right="0" w:hanging="0"/>
              <w:contextualSpacing/>
              <w:jc w:val="both"/>
              <w:rPr/>
            </w:pPr>
            <w:r>
              <w:rPr>
                <w:rFonts w:cs="Times New Roman" w:ascii="Times New Roman" w:hAnsi="Times New Roman"/>
                <w:b w:val="false"/>
                <w:bCs w:val="false"/>
                <w:i/>
                <w:iCs/>
                <w:color w:val="3465A4"/>
                <w:sz w:val="22"/>
                <w:szCs w:val="22"/>
                <w:lang w:val="uk-UA"/>
              </w:rPr>
              <w:t xml:space="preserve">(Розділ 12 доповнено послугою 12-19 </w:t>
            </w:r>
            <w:r>
              <w:rPr>
                <w:rStyle w:val="Style14"/>
                <w:rFonts w:cs="Times New Roman" w:ascii="Times New Roman" w:hAnsi="Times New Roman"/>
                <w:b w:val="false"/>
                <w:i/>
                <w:iCs/>
                <w:color w:val="2A6099"/>
                <w:sz w:val="22"/>
                <w:szCs w:val="22"/>
                <w:lang w:val="uk-UA"/>
              </w:rPr>
              <w:t xml:space="preserve">згідно із рішення </w:t>
            </w:r>
            <w:r>
              <w:rPr>
                <w:rStyle w:val="Style14"/>
                <w:rFonts w:eastAsia="Andale Sans UI;Arial Unicode MS" w:cs="Times New Roman" w:ascii="Times New Roman" w:hAnsi="Times New Roman"/>
                <w:b w:val="false"/>
                <w:bCs/>
                <w:i/>
                <w:iCs/>
                <w:color w:val="2A6099"/>
                <w:kern w:val="2"/>
                <w:sz w:val="22"/>
                <w:szCs w:val="22"/>
                <w:u w:val="none" w:color="000000"/>
                <w:lang w:val="uk-UA" w:eastAsia="zh-CN" w:bidi="zxx"/>
              </w:rPr>
              <w:t>14</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 xml:space="preserve"> </w:t>
            </w:r>
            <w:r>
              <w:rPr>
                <w:rStyle w:val="Style14"/>
                <w:rFonts w:cs="Times New Roman" w:ascii="Times New Roman" w:hAnsi="Times New Roman"/>
                <w:b w:val="false"/>
                <w:i/>
                <w:iCs/>
                <w:color w:val="2A6099"/>
                <w:sz w:val="22"/>
                <w:szCs w:val="22"/>
                <w:u w:val="none" w:color="000000"/>
                <w:lang w:val="uk-UA" w:bidi="zxx"/>
              </w:rPr>
              <w:t xml:space="preserve">сесії міської ради 8 скликання від </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26</w:t>
            </w:r>
            <w:r>
              <w:rPr>
                <w:rStyle w:val="Style14"/>
                <w:rFonts w:cs="Times New Roman" w:ascii="Times New Roman" w:hAnsi="Times New Roman"/>
                <w:b w:val="false"/>
                <w:i/>
                <w:iCs/>
                <w:color w:val="2A6099"/>
                <w:sz w:val="22"/>
                <w:szCs w:val="22"/>
                <w:u w:val="none" w:color="000000"/>
                <w:lang w:val="uk-UA" w:bidi="zxx"/>
              </w:rPr>
              <w:t>.</w:t>
            </w:r>
            <w:r>
              <w:rPr>
                <w:rStyle w:val="Style14"/>
                <w:rFonts w:eastAsia="Calibri" w:cs="Times New Roman" w:ascii="Times New Roman" w:hAnsi="Times New Roman"/>
                <w:b w:val="false"/>
                <w:bCs/>
                <w:i/>
                <w:iCs/>
                <w:color w:val="2A6099"/>
                <w:kern w:val="0"/>
                <w:sz w:val="22"/>
                <w:szCs w:val="22"/>
                <w:u w:val="none" w:color="000000"/>
                <w:lang w:val="uk-UA" w:eastAsia="zh-CN" w:bidi="zxx"/>
              </w:rPr>
              <w:t>11</w:t>
            </w:r>
            <w:r>
              <w:rPr>
                <w:rStyle w:val="Style14"/>
                <w:rFonts w:cs="Times New Roman" w:ascii="Times New Roman" w:hAnsi="Times New Roman"/>
                <w:b w:val="false"/>
                <w:i/>
                <w:iCs/>
                <w:color w:val="2A6099"/>
                <w:sz w:val="22"/>
                <w:szCs w:val="22"/>
                <w:u w:val="none" w:color="000000"/>
                <w:lang w:val="uk-UA" w:bidi="zxx"/>
              </w:rPr>
              <w:t>.202</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1</w:t>
            </w:r>
            <w:r>
              <w:rPr>
                <w:rStyle w:val="Style14"/>
                <w:rFonts w:cs="Times New Roman" w:ascii="Times New Roman" w:hAnsi="Times New Roman"/>
                <w:b w:val="false"/>
                <w:i/>
                <w:iCs/>
                <w:color w:val="2A6099"/>
                <w:sz w:val="22"/>
                <w:szCs w:val="22"/>
                <w:u w:val="none" w:color="000000"/>
                <w:lang w:val="uk-UA" w:bidi="zxx"/>
              </w:rPr>
              <w:t xml:space="preserve"> № </w:t>
            </w:r>
            <w:r>
              <w:rPr>
                <w:rStyle w:val="Style14"/>
                <w:rFonts w:eastAsia="Andale Sans UI;Arial Unicode MS" w:cs="Times New Roman" w:ascii="Times New Roman" w:hAnsi="Times New Roman"/>
                <w:b w:val="false"/>
                <w:bCs/>
                <w:i/>
                <w:iCs/>
                <w:color w:val="2A6099"/>
                <w:kern w:val="2"/>
                <w:sz w:val="22"/>
                <w:szCs w:val="22"/>
                <w:u w:val="none" w:color="000000"/>
                <w:lang w:val="uk-UA" w:eastAsia="zh-CN" w:bidi="zxx"/>
              </w:rPr>
              <w:t>17</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w:t>
            </w:r>
          </w:p>
        </w:tc>
      </w:tr>
      <w:tr>
        <w:trPr>
          <w:trHeight w:val="334" w:hRule="atLeast"/>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5" w:name="_GoBack111"/>
            <w:bookmarkEnd w:id="5"/>
            <w:r>
              <w:rPr>
                <w:rFonts w:cs="Times New Roman" w:ascii="Times New Roman" w:hAnsi="Times New Roman"/>
                <w:b/>
                <w:sz w:val="24"/>
                <w:szCs w:val="24"/>
                <w:lang w:eastAsia="en-US"/>
              </w:rPr>
              <w:t>МВ ГУ ДСНС України у Дніпропетровській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219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14 Південно-Східне міжрегіональне управління</w:t>
            </w:r>
          </w:p>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pPr>
            <w:r>
              <w:rPr>
                <w:rFonts w:cs="Times New Roman" w:ascii="Times New Roman" w:hAnsi="Times New Roman"/>
                <w:sz w:val="24"/>
                <w:szCs w:val="24"/>
              </w:rPr>
              <w:t>223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00"/>
              <w:contextualSpacing/>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6" w:name="n122"/>
            <w:bookmarkEnd w:id="6"/>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bookmarkStart w:id="7" w:name="n1211"/>
            <w:bookmarkEnd w:id="7"/>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229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bookmarkStart w:id="8"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8"/>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239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pPr>
            <w:r>
              <w:rPr>
                <w:rFonts w:cs="Times New Roman" w:ascii="Times New Roman" w:hAnsi="Times New Roman"/>
                <w:sz w:val="24"/>
                <w:szCs w:val="24"/>
              </w:rPr>
              <w:t>245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uppressAutoHyphens w:val="true"/>
              <w:bidi w:val="0"/>
              <w:spacing w:lineRule="auto" w:line="216" w:before="0" w:after="29"/>
              <w:ind w:left="737" w:right="-283" w:hanging="737"/>
              <w:contextualSpacing/>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248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pPr>
            <w:r>
              <w:rPr>
                <w:rFonts w:cs="Times New Roman" w:ascii="Times New Roman" w:hAnsi="Times New Roman"/>
                <w:sz w:val="24"/>
                <w:szCs w:val="24"/>
              </w:rPr>
              <w:t>249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pPr>
            <w:r>
              <w:rPr>
                <w:rFonts w:cs="Times New Roman" w:ascii="Times New Roman" w:hAnsi="Times New Roman"/>
                <w:sz w:val="24"/>
                <w:szCs w:val="24"/>
              </w:rPr>
              <w:t>254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86"/>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259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cs="Times New Roman"/>
                <w:i/>
                <w:i/>
                <w:color w:val="943634"/>
                <w:sz w:val="24"/>
                <w:szCs w:val="24"/>
                <w:highlight w:val="yellow"/>
                <w:lang w:eastAsia="uk-UA"/>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269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9"/>
              <w:contextualSpacing/>
              <w:rPr/>
            </w:pPr>
            <w:r>
              <w:rPr>
                <w:rFonts w:cs="Times New Roman" w:ascii="Times New Roman" w:hAnsi="Times New Roman"/>
                <w:sz w:val="24"/>
                <w:szCs w:val="24"/>
              </w:rPr>
              <w:t>274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86"/>
              <w:contextualSpacing/>
              <w:rPr/>
            </w:pPr>
            <w:r>
              <w:rPr>
                <w:rFonts w:cs="Times New Roman" w:ascii="Times New Roman" w:hAnsi="Times New Roman"/>
                <w:sz w:val="24"/>
                <w:szCs w:val="24"/>
              </w:rPr>
              <w:t>275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before="0" w:after="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29"/>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279</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280</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9" w:name="n1312"/>
            <w:bookmarkEnd w:id="9"/>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281</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12"/>
            <w:bookmarkEnd w:id="10"/>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282</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left" w:pos="3969" w:leader="none"/>
              </w:tabs>
              <w:spacing w:lineRule="auto" w:line="216" w:before="0" w:after="0"/>
              <w:contextualSpacing/>
              <w:jc w:val="both"/>
              <w:rPr/>
            </w:pPr>
            <w:bookmarkStart w:id="11"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2" w:name="n1321"/>
            <w:bookmarkEnd w:id="12"/>
            <w:r>
              <w:rPr>
                <w:rFonts w:cs="Times New Roman" w:ascii="Times New Roman" w:hAnsi="Times New Roman"/>
                <w:sz w:val="24"/>
                <w:szCs w:val="24"/>
                <w:lang w:eastAsia="uk-UA"/>
              </w:rPr>
              <w:t>про припинення структурного утворення політичної партії</w:t>
            </w:r>
            <w:bookmarkEnd w:id="11"/>
          </w:p>
        </w:tc>
      </w:tr>
      <w:tr>
        <w:trPr>
          <w:trHeight w:val="353" w:hRule="atLeast"/>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left"/>
              <w:rPr>
                <w:rFonts w:ascii="Times New Roman" w:hAnsi="Times New Roman" w:cs="Times New Roman"/>
                <w:b/>
                <w:b/>
                <w:bCs/>
                <w:sz w:val="24"/>
                <w:szCs w:val="24"/>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283</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284</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200"/>
              <w:contextualSpacing/>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285</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286</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287</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pPr>
            <w:r>
              <w:rPr>
                <w:rFonts w:cs="Times New Roman" w:ascii="Times New Roman" w:hAnsi="Times New Roman"/>
                <w:sz w:val="24"/>
                <w:szCs w:val="24"/>
              </w:rPr>
              <w:t>288</w:t>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Облік осіб, які шукають роботу</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jc w:val="center"/>
              <w:rPr/>
            </w:pPr>
            <w:r>
              <w:rPr>
                <w:rFonts w:cs="Times New Roman" w:ascii="Times New Roman" w:hAnsi="Times New Roman"/>
                <w:color w:val="000000"/>
                <w:sz w:val="24"/>
                <w:szCs w:val="24"/>
                <w:lang w:val="uk-UA" w:eastAsia="en-US"/>
              </w:rPr>
              <w:t>289</w:t>
            </w:r>
          </w:p>
        </w:tc>
        <w:tc>
          <w:tcPr>
            <w:tcW w:w="9693"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3"/>
              </w:numPr>
              <w:spacing w:lineRule="auto" w:line="216" w:before="0" w:after="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jc w:val="center"/>
              <w:rPr>
                <w:rFonts w:ascii="Times New Roman" w:hAnsi="Times New Roman" w:cs="Times New Roman"/>
                <w:color w:val="000000"/>
                <w:sz w:val="24"/>
                <w:szCs w:val="24"/>
                <w:lang w:val="uk-UA" w:eastAsia="en-US"/>
              </w:rPr>
            </w:pPr>
            <w:r>
              <w:rPr>
                <w:rFonts w:cs="Times New Roman" w:ascii="Times New Roman" w:hAnsi="Times New Roman"/>
                <w:color w:val="000000"/>
                <w:sz w:val="24"/>
                <w:szCs w:val="24"/>
                <w:lang w:val="uk-UA" w:eastAsia="en-US"/>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jc w:val="center"/>
              <w:rPr>
                <w:rFonts w:ascii="Times New Roman" w:hAnsi="Times New Roman" w:cs="Times New Roman"/>
                <w:b/>
                <w:b/>
                <w:bCs/>
                <w:sz w:val="24"/>
                <w:szCs w:val="24"/>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jc w:val="center"/>
              <w:rPr>
                <w:sz w:val="24"/>
                <w:szCs w:val="24"/>
              </w:rPr>
            </w:pPr>
            <w:r>
              <w:rPr>
                <w:sz w:val="24"/>
                <w:szCs w:val="24"/>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846" w:type="dxa"/>
            <w:tcBorders>
              <w:left w:val="single" w:sz="4" w:space="0" w:color="000001"/>
              <w:bottom w:val="single" w:sz="4" w:space="0" w:color="000001"/>
              <w:right w:val="single" w:sz="4" w:space="0" w:color="000001"/>
            </w:tcBorders>
            <w:shd w:fill="auto" w:val="clear"/>
          </w:tcPr>
          <w:p>
            <w:pPr>
              <w:pStyle w:val="Style17"/>
              <w:widowControl w:val="false"/>
              <w:tabs>
                <w:tab w:val="clear" w:pos="709"/>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846" w:type="dxa"/>
            <w:tcBorders>
              <w:left w:val="single" w:sz="4" w:space="0" w:color="000001"/>
              <w:bottom w:val="single" w:sz="4" w:space="0" w:color="000001"/>
              <w:right w:val="single" w:sz="4" w:space="0" w:color="000001"/>
            </w:tcBorders>
            <w:shd w:fill="auto" w:val="clear"/>
          </w:tcPr>
          <w:p>
            <w:pPr>
              <w:pStyle w:val="Style17"/>
              <w:widowControl w:val="false"/>
              <w:tabs>
                <w:tab w:val="clear" w:pos="709"/>
                <w:tab w:val="center" w:pos="4153" w:leader="none"/>
                <w:tab w:val="right" w:pos="8306" w:leader="none"/>
              </w:tabs>
              <w:spacing w:lineRule="auto" w:line="216" w:before="0" w:after="0"/>
              <w:contextualSpacing/>
              <w:jc w:val="both"/>
              <w:rPr>
                <w:color w:val="000000"/>
              </w:rPr>
            </w:pPr>
            <w:r>
              <w:rPr>
                <w:color w:val="000000"/>
              </w:rPr>
              <w:t>Реєстрація народженої дитини в Державному реєстрі фізичних осіб –платників податків</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846" w:type="dxa"/>
            <w:tcBorders>
              <w:left w:val="single" w:sz="4" w:space="0" w:color="000001"/>
              <w:bottom w:val="single" w:sz="4" w:space="0" w:color="000001"/>
              <w:right w:val="single" w:sz="4" w:space="0" w:color="000001"/>
            </w:tcBorders>
            <w:shd w:fill="auto" w:val="clear"/>
          </w:tcPr>
          <w:p>
            <w:pPr>
              <w:pStyle w:val="Style17"/>
              <w:widowControl w:val="false"/>
              <w:tabs>
                <w:tab w:val="clear" w:pos="709"/>
                <w:tab w:val="center" w:pos="4153" w:leader="none"/>
                <w:tab w:val="right" w:pos="8306" w:leader="none"/>
              </w:tabs>
              <w:spacing w:lineRule="auto" w:line="216" w:before="0" w:after="0"/>
              <w:contextualSpacing/>
              <w:jc w:val="both"/>
              <w:rPr>
                <w:color w:val="000000"/>
              </w:rPr>
            </w:pPr>
            <w:r>
              <w:rPr>
                <w:color w:val="000000"/>
              </w:rPr>
              <w:t xml:space="preserve"> </w:t>
            </w:r>
            <w:r>
              <w:rPr>
                <w:color w:val="000000"/>
              </w:rPr>
              <w:t>Присвоєння дитині унікального номеру запису в Єдиному державному демографічному реєстрі</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86"/>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Реєстраційний відділ</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846"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rHeight w:val="307" w:hRule="atLeast"/>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709"/>
                <w:tab w:val="center" w:pos="4153" w:leader="none"/>
                <w:tab w:val="right" w:pos="8306" w:leader="none"/>
              </w:tabs>
              <w:spacing w:lineRule="auto" w:line="216" w:before="0" w:after="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846"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0" w:after="0"/>
              <w:contextualSpacing/>
              <w:jc w:val="both"/>
              <w:rPr>
                <w:color w:val="000000"/>
              </w:rPr>
            </w:pPr>
            <w:r>
              <w:rPr>
                <w:color w:val="000000"/>
              </w:rPr>
              <w:t>Призначення допомоги при народженні дитини</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846"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0" w:after="0"/>
              <w:contextualSpacing/>
              <w:jc w:val="both"/>
              <w:rPr>
                <w:color w:val="000000"/>
              </w:rPr>
            </w:pPr>
            <w:r>
              <w:rPr>
                <w:color w:val="000000"/>
              </w:rPr>
              <w:t>Отримання посвідчень батьків багатодітної сім'ї та дитини з багатодітної сім'ї</w:t>
            </w:r>
          </w:p>
        </w:tc>
      </w:tr>
      <w:tr>
        <w:trPr/>
        <w:tc>
          <w:tcPr>
            <w:tcW w:w="612"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709"/>
                <w:tab w:val="center" w:pos="4153" w:leader="none"/>
                <w:tab w:val="right" w:pos="8306"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7</w:t>
            </w:r>
          </w:p>
        </w:tc>
        <w:tc>
          <w:tcPr>
            <w:tcW w:w="8846"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0" w:after="0"/>
              <w:contextualSpacing/>
              <w:jc w:val="both"/>
              <w:rPr>
                <w:color w:val="000000"/>
              </w:rPr>
            </w:pPr>
            <w:r>
              <w:rPr>
                <w:color w:val="000000"/>
              </w:rPr>
              <w:t>Призначення допомоги багатодітним сім'ям</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center"/>
        <w:rPr/>
      </w:pPr>
      <w:r>
        <w:rPr>
          <w:rFonts w:eastAsia="Times New Roman"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rFonts w:ascii="Times New Roman" w:hAnsi="Times New Roman" w:cs="Times New Roman"/>
          <w:sz w:val="28"/>
          <w:szCs w:val="28"/>
        </w:rPr>
      </w:pPr>
      <w:r>
        <w:rPr/>
      </w:r>
    </w:p>
    <w:sectPr>
      <w:type w:val="nextPage"/>
      <w:pgSz w:w="11906" w:h="16838"/>
      <w:pgMar w:left="1590" w:right="626"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6"/>
    <w:next w:val="Style17"/>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name w:val="Default Paragraph Font"/>
    <w:qFormat/>
    <w:rPr/>
  </w:style>
  <w:style w:type="character" w:styleId="Style13">
    <w:name w:val="Основной текст Знак"/>
    <w:basedOn w:val="DefaultParagraphFont"/>
    <w:qFormat/>
    <w:rPr>
      <w:rFonts w:ascii="Times New Roman" w:hAnsi="Times New Roman" w:eastAsia="Andale Sans UI" w:cs="Times New Roman"/>
      <w:kern w:val="2"/>
      <w:sz w:val="24"/>
      <w:szCs w:val="24"/>
      <w:lang w:val="uk-UA" w:eastAsia="zh-CN"/>
    </w:rPr>
  </w:style>
  <w:style w:type="character" w:styleId="HTML">
    <w:name w:val="Стандартный HTML Знак"/>
    <w:basedOn w:val="DefaultParagraphFont"/>
    <w:qFormat/>
    <w:rPr>
      <w:rFonts w:ascii="Courier New" w:hAnsi="Courier New" w:eastAsia="Times New Roman" w:cs="Courier New"/>
      <w:sz w:val="20"/>
      <w:szCs w:val="20"/>
      <w:lang w:val="uk-UA" w:eastAsia="zh-CN"/>
    </w:rPr>
  </w:style>
  <w:style w:type="character" w:styleId="Style14">
    <w:name w:val="Виділення жирним"/>
    <w:qFormat/>
    <w:rPr>
      <w:b/>
      <w:bCs/>
    </w:rPr>
  </w:style>
  <w:style w:type="character" w:styleId="2">
    <w:name w:val="Заголовок 2 Знак"/>
    <w:qFormat/>
    <w:rPr>
      <w:sz w:val="28"/>
      <w:lang w:val="ru-RU"/>
    </w:rPr>
  </w:style>
  <w:style w:type="character" w:styleId="Style15">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Arial"/>
    </w:rPr>
  </w:style>
  <w:style w:type="paragraph" w:styleId="NoSpacing">
    <w:name w:val="No Spacing"/>
    <w:qFormat/>
    <w:pPr>
      <w:widowControl/>
      <w:suppressAutoHyphens w:val="true"/>
      <w:overflowPunct w:val="true"/>
      <w:bidi w:val="0"/>
      <w:spacing w:before="0" w:after="0"/>
      <w:jc w:val="left"/>
    </w:pPr>
    <w:rPr>
      <w:rFonts w:ascii="Calibri" w:hAnsi="Calibri" w:eastAsia="Calibri" w:cs="Tahoma"/>
      <w:color w:val="00000A"/>
      <w:kern w:val="0"/>
      <w:sz w:val="22"/>
      <w:szCs w:val="22"/>
      <w:lang w:val="uk-UA" w:eastAsia="en-US" w:bidi="ar-SA"/>
    </w:rPr>
  </w:style>
  <w:style w:type="paragraph" w:styleId="ListParagraph">
    <w:name w:val="List Paragraph"/>
    <w:basedOn w:val="Normal"/>
    <w:qFormat/>
    <w:pPr>
      <w:suppressAutoHyphens w:val="false"/>
      <w:spacing w:lineRule="auto" w:line="240" w:before="0" w:after="0"/>
      <w:ind w:left="720" w:right="0" w:hanging="0"/>
      <w:contextualSpacing/>
    </w:pPr>
    <w:rPr>
      <w:rFonts w:ascii="Times New Roman" w:hAnsi="Times New Roman" w:eastAsia="Times New Roman"/>
      <w:sz w:val="28"/>
      <w:szCs w:val="24"/>
      <w:lang w:eastAsia="ru-RU"/>
    </w:rPr>
  </w:style>
  <w:style w:type="paragraph" w:styleId="21">
    <w:name w:val="Основной текст 21"/>
    <w:basedOn w:val="Normal"/>
    <w:qFormat/>
    <w:pPr>
      <w:spacing w:lineRule="auto" w:line="240" w:before="0" w:after="0"/>
      <w:ind w:left="0" w:right="0" w:firstLine="720"/>
      <w:jc w:val="center"/>
    </w:pPr>
    <w:rPr>
      <w:rFonts w:ascii="Times New Roman" w:hAnsi="Times New Roman" w:eastAsia="Times New Roman"/>
      <w:sz w:val="24"/>
      <w:szCs w:val="20"/>
    </w:rPr>
  </w:style>
  <w:style w:type="paragraph" w:styleId="Style22">
    <w:name w:val="Абзац списку"/>
    <w:basedOn w:val="Normal"/>
    <w:qFormat/>
    <w:pPr>
      <w:suppressAutoHyphens w:val="false"/>
      <w:spacing w:before="0" w:after="200"/>
      <w:ind w:left="720" w:right="0" w:hanging="0"/>
      <w:contextualSpacing/>
    </w:pPr>
    <w:rPr>
      <w:rFonts w:eastAsia="Times New Roman"/>
      <w:lang w:val="ru-RU" w:eastAsia="ru-RU"/>
    </w:rPr>
  </w:style>
  <w:style w:type="paragraph" w:styleId="HTMLPreformatted">
    <w:name w:val="HTML Preformatted"/>
    <w:basedOn w:val="Normal"/>
    <w:qFormat/>
    <w:pPr>
      <w:spacing w:lineRule="auto" w:line="240" w:before="0" w:after="0"/>
    </w:pPr>
    <w:rPr>
      <w:rFonts w:ascii="Courier New" w:hAnsi="Courier New" w:eastAsia="Times New Roman" w:cs="Courier New"/>
      <w:sz w:val="20"/>
      <w:szCs w:val="20"/>
    </w:rPr>
  </w:style>
  <w:style w:type="paragraph" w:styleId="Style23">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4">
    <w:name w:val="Вміст таблиці"/>
    <w:basedOn w:val="Normal"/>
    <w:qFormat/>
    <w:pPr>
      <w:suppressLineNumbers/>
    </w:pPr>
    <w:rPr/>
  </w:style>
  <w:style w:type="paragraph" w:styleId="Style25">
    <w:name w:val="Заголовок таблиці"/>
    <w:basedOn w:val="Style24"/>
    <w:qFormat/>
    <w:pPr>
      <w:suppressLineNumbers/>
      <w:jc w:val="center"/>
    </w:pPr>
    <w:rPr>
      <w:b/>
      <w:bCs/>
    </w:rPr>
  </w:style>
  <w:style w:type="paragraph" w:styleId="Style26">
    <w:name w:val="Нормальний текст"/>
    <w:basedOn w:val="Normal"/>
    <w:qFormat/>
    <w:pPr>
      <w:spacing w:before="120" w:after="0"/>
      <w:ind w:left="0" w:right="0" w:firstLine="567"/>
    </w:pPr>
    <w:rPr>
      <w:lang w:val="uk-UA"/>
    </w:rPr>
  </w:style>
  <w:style w:type="paragraph" w:styleId="Style27">
    <w:name w:val="Верхній і нижній колонтитули"/>
    <w:basedOn w:val="Normal"/>
    <w:qFormat/>
    <w:pPr>
      <w:suppressLineNumbers/>
      <w:tabs>
        <w:tab w:val="clear" w:pos="709"/>
        <w:tab w:val="center" w:pos="4961" w:leader="none"/>
        <w:tab w:val="right" w:pos="9922" w:leader="none"/>
      </w:tabs>
    </w:pPr>
    <w:rPr/>
  </w:style>
  <w:style w:type="paragraph" w:styleId="Style28">
    <w:name w:val="Header"/>
    <w:basedOn w:val="Style27"/>
    <w:pPr>
      <w:suppressLineNumbers/>
    </w:pPr>
    <w:rPr/>
  </w:style>
  <w:style w:type="paragraph" w:styleId="Style29">
    <w:name w:val="Название объекта"/>
    <w:basedOn w:val="Normal"/>
    <w:qFormat/>
    <w:pPr>
      <w:jc w:val="center"/>
    </w:pPr>
    <w:rPr>
      <w:b/>
      <w:lang w:val="uk-U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1320</TotalTime>
  <Application>LibreOffice/7.0.3.1$Windows_X86_64 LibreOffice_project/d7547858d014d4cf69878db179d326fc3483e082</Application>
  <Pages>16</Pages>
  <Words>5969</Words>
  <Characters>40879</Characters>
  <CharactersWithSpaces>46809</CharactersWithSpaces>
  <Paragraphs>937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uk-UA</dc:language>
  <cp:lastModifiedBy/>
  <dcterms:modified xsi:type="dcterms:W3CDTF">2022-03-02T13:16:47Z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