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89255" cy="56959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143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>малолітнього ХХХХХХ, ХХХХХХ року народження з батьком, ХХХХХХ, ХХХХХХ року народження</w:t>
      </w:r>
    </w:p>
    <w:p>
      <w:pPr>
        <w:pStyle w:val="Normal"/>
        <w:spacing w:lineRule="auto" w:line="240" w:before="0" w:after="86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інтересами дитини, підпунктом 4 пункту «б» ст.34 Закону України «Про місцеве самоврядування в Україні», пунктом 72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Порядку</w:t>
        <w:br/>
        <w:t xml:space="preserve">провадження органами опіки та піклування діяльності, пов'язаної із захистом прав дитини, затвердженого </w:t>
      </w:r>
      <w:r>
        <w:rPr>
          <w:rFonts w:ascii="Times New Roman" w:hAnsi="Times New Roman"/>
          <w:sz w:val="28"/>
          <w:szCs w:val="28"/>
        </w:rPr>
        <w:t xml:space="preserve">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підставі протоколу комісії з питань захисту прав дитини від 18.03.2024 №7,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враховуючи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виснов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служби у справах дітей виконавчого комітету Покровської міської ради Дніпропетровської області від ХХХХХ №ХХХХХХ “Про 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визначення місця проживання малолітнього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з батьком,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”,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29"/>
        <w:rPr/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29"/>
        <w:rPr>
          <w:rFonts w:ascii="Times New Roman" w:hAnsi="Times New Roman"/>
          <w:b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1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.В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изначити місце проживання малолітнього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з батьком,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>
    <w:name w:val="Шрифт абзацу за замовчуванням2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basedOn w:val="Style14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26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13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LibreOffice/6.1.4.2$Windows_x86 LibreOffice_project/9d0f32d1f0b509096fd65e0d4bec26ddd1938fd3</Application>
  <Pages>1</Pages>
  <Words>172</Words>
  <Characters>1230</Characters>
  <CharactersWithSpaces>1545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2024-03-08T08:24:00Z</dcterms:created>
  <dc:creator>Покров Виконком</dc:creator>
  <dc:description/>
  <dc:language>uk-UA</dc:language>
  <cp:lastModifiedBy/>
  <cp:lastPrinted>2022-11-21T12:52:00Z</cp:lastPrinted>
  <dcterms:modified xsi:type="dcterms:W3CDTF">2024-03-22T15:29:49Z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