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1DBC327E">
                <wp:simplePos x="0" y="0"/>
                <wp:positionH relativeFrom="column">
                  <wp:posOffset>3333750</wp:posOffset>
                </wp:positionH>
                <wp:positionV relativeFrom="paragraph">
                  <wp:posOffset>-171450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4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4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62.5pt;margin-top:-13.5pt;width:197.95pt;height:68.95pt;mso-wrap-style:square;v-text-anchor:top" wp14:anchorId="1DBC327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4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4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4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№01-8.1 </w:t>
      </w:r>
    </w:p>
    <w:p>
      <w:pPr>
        <w:pStyle w:val="Normal"/>
        <w:widowControl w:val="false"/>
        <w:jc w:val="center"/>
        <w:rPr>
          <w:bCs/>
          <w:color w:val="000000"/>
          <w:sz w:val="16"/>
          <w:szCs w:val="16"/>
          <w:lang w:val="uk-UA" w:eastAsia="uk-UA" w:bidi="uk-UA"/>
        </w:rPr>
      </w:pPr>
      <w:r>
        <w:rPr>
          <w:b/>
          <w:lang w:val="uk-UA"/>
        </w:rPr>
        <w:t>Внесення змін до повідомлення про початок виконання підготовчих робіт</w:t>
      </w:r>
    </w:p>
    <w:p>
      <w:pPr>
        <w:pStyle w:val="Normal"/>
        <w:widowControl w:val="false"/>
        <w:jc w:val="center"/>
        <w:rPr>
          <w:bCs/>
          <w:color w:val="000000"/>
          <w:lang w:val="uk-UA" w:eastAsia="uk-UA" w:bidi="uk-UA"/>
        </w:rPr>
      </w:pPr>
      <w:r>
        <w:rPr>
          <w:bCs/>
          <w:color w:val="000000"/>
          <w:lang w:val="uk-UA" w:eastAsia="uk-UA" w:bidi="uk-UA"/>
        </w:rPr>
        <w:t>Виконавчий комітет Покровської міської ради</w:t>
      </w:r>
    </w:p>
    <w:p>
      <w:pPr>
        <w:pStyle w:val="Normal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5"/>
        <w:gridCol w:w="3013"/>
        <w:gridCol w:w="5853"/>
      </w:tblGrid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Інформація про суб’єкт надання адміністративної послуги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eastAsia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val="uk-UA" w:eastAsia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bCs/>
                <w:lang w:val="uk-UA"/>
              </w:rPr>
            </w:pPr>
            <w:r>
              <w:rPr>
                <w:lang w:val="uk-UA" w:eastAsia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Місцезнаходження суб'єкта надання адміністративної послуги та центру надання адміністративної послуги, телефон, адреса електронної пошти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53300, Дніпропетровська область, м.</w:t>
            </w:r>
            <w:r>
              <w:rPr>
                <w:lang w:val="uk-UA"/>
              </w:rPr>
              <w:t xml:space="preserve"> Покров</w:t>
            </w:r>
            <w:r>
              <w:rPr/>
              <w:t>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 xml:space="preserve">вул. Центральна , 48 </w:t>
            </w:r>
            <w:r>
              <w:rPr>
                <w:lang w:val="uk-UA"/>
              </w:rPr>
              <w:t>, 4 поверх, каб. № 416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тел. (05667) – 4-32-46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 w:eastAsia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eastAsia="uk-UA"/>
              </w:rPr>
            </w:pPr>
            <w:r>
              <w:rPr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bCs/>
                <w:lang w:val="uk-UA"/>
              </w:rPr>
              <w:t>Вихідні дні - субота, неділя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360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Статті 35, 39 Закону України «Про регулювання містобудівної діяльності»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виконання підготовчих та будівельних робіт, затвердженого постановою Кабінету Міністрів України від 13 квітня 2011 р. № 466 «Деякі питання виконання підготовчих та будівельних робіт», пункти 13, 14, 15.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>
          <w:trHeight w:val="525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--------------</w:t>
            </w:r>
          </w:p>
        </w:tc>
      </w:tr>
      <w:tr>
        <w:trPr/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У разі якщо право на будівництво об'єкта передано іншому замовнику або змінено осіб, відповідальних за проведення авторського і технічного нагляду, у разі зміни генерального підрядника чи підрядника (якщо підготовчі роботи здійснюються без залучення субпідрядників),у разі зміни/присвоєння адреси об’єкта будівництва під час реалізації експериментального проекту з присвоєння адрес об’єктам будівництва та об’єктам нерухомого майна.</w:t>
            </w:r>
          </w:p>
          <w:p>
            <w:pPr>
              <w:pStyle w:val="NoSpacing"/>
              <w:widowControl w:val="false"/>
              <w:rPr>
                <w:color w:val="FF0000"/>
                <w:lang w:val="uk-UA"/>
              </w:rPr>
            </w:pPr>
            <w:r>
              <w:rPr/>
              <w:t>2. Виявлення замовником технічної помилки (описки, друкарської, граматичної, арифметичної помилки) у поданому повідомленні про початок виконання підготовчих робіт або отримання відомостей про виявлення недостовірних даних.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/>
              <w:t>Повідомлення про зміну даних у повідомленні про початок виконання підготовчих робіт, у якому враховані зміни за формою встановленого зразка.</w:t>
            </w:r>
          </w:p>
          <w:p>
            <w:pPr>
              <w:pStyle w:val="NoSpacing"/>
              <w:widowControl w:val="false"/>
              <w:rPr/>
            </w:pPr>
            <w:r>
              <w:rPr/>
              <w:t>У разі виявлення замовником технічної помилки (описки, друкарської, граматичної, арифметичної помилки) у поданому повідомленні про початок виконання підготовчих робіт або отримання відомостей про виявлення недостовірних даних:</w:t>
            </w:r>
          </w:p>
          <w:p>
            <w:pPr>
              <w:pStyle w:val="NoSpacing"/>
              <w:widowControl w:val="false"/>
              <w:rPr/>
            </w:pPr>
            <w:r>
              <w:rPr/>
              <w:t>заява за формою встановленого зразка;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один примірник повідомлення про зміну даних у повідомленні про початок виконання підготовчих робіт, у якому враховані зміни, за формою встановленого зразка.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/>
              <w:t>Подається замовником (його уповноваженою особою) через центр надання адміністративних послуг, або заповнюється та надсилається рекомендованим листом з описом вкладення до центру надання адміністративних послуг, або через електронний кабінет забудовника в Єдиній державній електронній системі у сфері будівництва.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Безоплатно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У разі платності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11.1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11.2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Розрахунковий рахунок для внесення плати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</w:t>
            </w:r>
            <w:r>
              <w:rPr/>
              <w:t xml:space="preserve"> </w:t>
            </w:r>
            <w:r>
              <w:rPr>
                <w:lang w:val="uk-UA"/>
              </w:rPr>
              <w:t xml:space="preserve">робочих </w:t>
            </w:r>
            <w:r>
              <w:rPr/>
              <w:t>дн</w:t>
            </w:r>
            <w:r>
              <w:rPr>
                <w:lang w:val="uk-UA"/>
              </w:rPr>
              <w:t>ів з</w:t>
            </w:r>
            <w:r>
              <w:rPr/>
              <w:t xml:space="preserve"> надходження заяви та повідомлення.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  <w:tr>
        <w:trPr>
          <w:trHeight w:val="467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Внесення достовірних даних Реєстру будівельної діяльності з присвоєнням реєстраційного номера в цьому реєстрі та оприлюдненням на порталі електронної системи.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Інформацію про реєстрацію декларації  можна отримати на сайті </w:t>
            </w:r>
            <w:hyperlink r:id="rId3">
              <w:r>
                <w:rPr>
                  <w:lang w:val="uk-UA"/>
                </w:rPr>
                <w:t>https://e-construction.gov.ua/reestri</w:t>
              </w:r>
            </w:hyperlink>
            <w:r>
              <w:rPr>
                <w:lang w:val="uk-UA"/>
              </w:rPr>
              <w:t xml:space="preserve">  </w:t>
            </w:r>
            <w:r>
              <w:rPr>
                <w:shd w:fill="FFFFFF" w:val="clear"/>
                <w:lang w:val="uk-UA"/>
              </w:rPr>
              <w:t xml:space="preserve">в </w:t>
            </w:r>
            <w:r>
              <w:rPr>
                <w:lang w:val="uk-UA"/>
              </w:rPr>
              <w:t>Реєстрі будівельної діяльності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</w:tbl>
    <w:p>
      <w:pPr>
        <w:pStyle w:val="Normal"/>
        <w:tabs>
          <w:tab w:val="clear" w:pos="708"/>
          <w:tab w:val="left" w:pos="1905" w:leader="none"/>
        </w:tabs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tabs>
          <w:tab w:val="clear" w:pos="708"/>
          <w:tab w:val="left" w:pos="1905" w:leader="none"/>
        </w:tabs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5b1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rsid w:val="00c25b1e"/>
    <w:rPr>
      <w:color w:val="0000FF"/>
      <w:u w:val="single"/>
    </w:rPr>
  </w:style>
  <w:style w:type="character" w:styleId="HTMLCite">
    <w:name w:val="HTML Cite"/>
    <w:uiPriority w:val="99"/>
    <w:unhideWhenUsed/>
    <w:qFormat/>
    <w:rsid w:val="00c25b1e"/>
    <w:rPr>
      <w:i/>
      <w:iCs/>
    </w:rPr>
  </w:style>
  <w:style w:type="character" w:styleId="Style15" w:customStyle="1">
    <w:name w:val="Другое_"/>
    <w:basedOn w:val="DefaultParagraphFont"/>
    <w:link w:val="a7"/>
    <w:qFormat/>
    <w:rsid w:val="00593872"/>
    <w:rPr>
      <w:rFonts w:ascii="Times New Roman" w:hAnsi="Times New Roman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 w:customStyle="1">
    <w:name w:val="Нормальний текст"/>
    <w:basedOn w:val="Normal"/>
    <w:qFormat/>
    <w:rsid w:val="00c25b1e"/>
    <w:pPr>
      <w:spacing w:before="120" w:after="0"/>
      <w:ind w:firstLine="567"/>
    </w:pPr>
    <w:rPr>
      <w:rFonts w:ascii="Antiqua" w:hAnsi="Antiqua"/>
      <w:sz w:val="26"/>
      <w:szCs w:val="20"/>
      <w:lang w:val="uk-UA"/>
    </w:rPr>
  </w:style>
  <w:style w:type="paragraph" w:styleId="Style22" w:customStyle="1">
    <w:name w:val="Назва документа"/>
    <w:basedOn w:val="Normal"/>
    <w:next w:val="Style21"/>
    <w:qFormat/>
    <w:rsid w:val="00c25b1e"/>
    <w:pPr>
      <w:keepNext w:val="true"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Style23" w:customStyle="1">
    <w:name w:val="Другое"/>
    <w:basedOn w:val="Normal"/>
    <w:link w:val="a6"/>
    <w:qFormat/>
    <w:rsid w:val="00593872"/>
    <w:pPr>
      <w:widowControl w:val="false"/>
    </w:pPr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aa5f5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4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hyperlink" Target="https://e-construction.gov.ua/reestri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AC359-593D-4EE5-A417-05D74D79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LibreOffice/7.1.3.2$Windows_X86_64 LibreOffice_project/47f78053abe362b9384784d31a6e56f8511eb1c1</Application>
  <AppVersion>15.0000</AppVersion>
  <Pages>2</Pages>
  <Words>548</Words>
  <Characters>3940</Characters>
  <CharactersWithSpaces>4426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2017-10-27T08:42:00Z</dcterms:created>
  <dc:creator>Специалист001</dc:creator>
  <dc:description/>
  <dc:language>uk-UA</dc:language>
  <cp:lastModifiedBy/>
  <dcterms:modified xsi:type="dcterms:W3CDTF">2021-07-01T10:41:20Z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