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b/>
          <w:b/>
          <w:bCs/>
          <w:kern w:val="2"/>
          <w:sz w:val="28"/>
          <w:szCs w:val="28"/>
          <w:lang w:val="uk-UA" w:eastAsia="zh-CN"/>
        </w:rPr>
      </w:pPr>
      <w:r>
        <w:rPr>
          <w:rFonts w:eastAsia="Andale Sans UI" w:cs="Times New Roman" w:ascii="Times New Roman" w:hAnsi="Times New Roman"/>
          <w:b/>
          <w:bCs/>
          <w:kern w:val="2"/>
          <w:sz w:val="28"/>
          <w:szCs w:val="28"/>
          <w:lang w:val="uk-UA" w:eastAsia="zh-CN"/>
        </w:rP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5180965</wp:posOffset>
                </wp:positionH>
                <wp:positionV relativeFrom="paragraph">
                  <wp:posOffset>-429895</wp:posOffset>
                </wp:positionV>
                <wp:extent cx="781685" cy="362585"/>
                <wp:effectExtent l="0" t="0" r="0" b="0"/>
                <wp:wrapNone/>
                <wp:docPr id="1" name="Фігур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200" cy="361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rPr/>
                            </w:pPr>
                            <w:r>
                              <w:rPr/>
                              <w:t>копія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Фігура2" stroked="f" style="position:absolute;margin-left:407.95pt;margin-top:-33.85pt;width:61.45pt;height:28.45pt;mso-wrap-style:square;v-text-anchor:top" type="shapetype_202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rPr/>
                      </w:pPr>
                      <w:r>
                        <w:rPr/>
                        <w:t>копія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2869565</wp:posOffset>
            </wp:positionH>
            <wp:positionV relativeFrom="paragraph">
              <wp:posOffset>-288290</wp:posOffset>
            </wp:positionV>
            <wp:extent cx="425450" cy="605790"/>
            <wp:effectExtent l="0" t="0" r="0" b="0"/>
            <wp:wrapTopAndBottom/>
            <wp:docPr id="2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1" t="-11" r="-31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kern w:val="2"/>
          <w:sz w:val="24"/>
          <w:szCs w:val="24"/>
          <w:lang w:eastAsia="zh-CN"/>
        </w:rPr>
      </w:pPr>
      <w:r>
        <w:rPr>
          <w:rFonts w:eastAsia="Andale Sans UI" w:cs="Times New Roman" w:ascii="Times New Roman" w:hAnsi="Times New Roman"/>
          <w:b/>
          <w:bCs/>
          <w:kern w:val="2"/>
          <w:sz w:val="28"/>
          <w:szCs w:val="28"/>
          <w:lang w:val="uk-UA" w:eastAsia="zh-CN"/>
        </w:rPr>
        <w:t>ВИКОНАВЧИЙ КОМІТЕТ ПОКРОВСЬКОЇ МІСЬКОЇ РАДИ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kern w:val="2"/>
          <w:sz w:val="24"/>
          <w:szCs w:val="24"/>
          <w:lang w:eastAsia="zh-CN"/>
        </w:rPr>
      </w:pPr>
      <w:r>
        <w:rPr>
          <w:rFonts w:eastAsia="Andale Sans UI" w:cs="Times New Roman" w:ascii="Times New Roman" w:hAnsi="Times New Roman"/>
          <w:b/>
          <w:bCs/>
          <w:kern w:val="2"/>
          <w:sz w:val="28"/>
          <w:szCs w:val="28"/>
          <w:lang w:val="uk-UA" w:eastAsia="zh-CN"/>
        </w:rPr>
        <w:t>ДНІПРОПЕТРОВСЬКОЇ ОБЛАСТІ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kern w:val="2"/>
          <w:sz w:val="28"/>
          <w:szCs w:val="28"/>
          <w:lang w:val="x-none" w:eastAsia="x-none"/>
        </w:rPr>
      </w:pPr>
      <w:r>
        <w:rPr>
          <w:rFonts w:eastAsia="Andale Sans UI" w:cs="Times New Roman" w:ascii="Times New Roman" w:hAnsi="Times New Roman"/>
          <w:kern w:val="2"/>
          <w:sz w:val="28"/>
          <w:szCs w:val="28"/>
          <w:lang w:val="x-none" w:eastAsia="x-none"/>
        </w:rP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16510</wp:posOffset>
                </wp:positionH>
                <wp:positionV relativeFrom="paragraph">
                  <wp:posOffset>20320</wp:posOffset>
                </wp:positionV>
                <wp:extent cx="6115685" cy="9525"/>
                <wp:effectExtent l="10795" t="10160" r="17780" b="9525"/>
                <wp:wrapNone/>
                <wp:docPr id="3" name="Прямая соединительная 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14960" cy="9000"/>
                        </a:xfrm>
                        <a:prstGeom prst="line">
                          <a:avLst/>
                        </a:prstGeom>
                        <a:ln cap="sq" w="176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3pt,1.6pt" to="482.75pt,2.25pt" ID="Прямая соединительная линия 3" stroked="t" style="position:absolute;flip:y">
                <v:stroke color="black" weight="17640" joinstyle="miter" endcap="square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b/>
          <w:b/>
          <w:kern w:val="2"/>
          <w:sz w:val="28"/>
          <w:szCs w:val="28"/>
          <w:lang w:val="uk-UA" w:eastAsia="zh-CN"/>
        </w:rPr>
      </w:pPr>
      <w:r>
        <w:rPr>
          <w:rFonts w:eastAsia="Andale Sans UI" w:cs="Times New Roman" w:ascii="Times New Roman" w:hAnsi="Times New Roman"/>
          <w:b/>
          <w:kern w:val="2"/>
          <w:sz w:val="28"/>
          <w:szCs w:val="28"/>
          <w:lang w:val="uk-UA" w:eastAsia="zh-CN"/>
        </w:rPr>
        <w:t>РІШЕННЯ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Andale Sans UI" w:cs="Times New Roman"/>
          <w:kern w:val="2"/>
          <w:sz w:val="24"/>
          <w:szCs w:val="24"/>
          <w:lang w:eastAsia="zh-CN"/>
        </w:rPr>
      </w:pPr>
      <w:r>
        <w:rPr>
          <w:rFonts w:eastAsia="Andale Sans UI" w:cs="Times New Roman" w:ascii="Times New Roman" w:hAnsi="Times New Roman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0"/>
          <w:lang w:val="uk-UA"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23 червня 2021 року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м.Покров      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       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             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№</w:t>
      </w:r>
      <w:r>
        <w:rPr>
          <w:rFonts w:eastAsia="Times New Roman" w:cs="Times New Roman" w:ascii="Times New Roman" w:hAnsi="Times New Roman"/>
          <w:sz w:val="28"/>
          <w:szCs w:val="28"/>
          <w:lang w:val="uk-UA" w:eastAsia="zh-CN"/>
        </w:rPr>
        <w:t xml:space="preserve"> 281</w:t>
      </w:r>
      <w:bookmarkStart w:id="0" w:name="_GoBack"/>
      <w:bookmarkEnd w:id="0"/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16"/>
          <w:szCs w:val="16"/>
          <w:lang w:val="uk-UA"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val="uk-UA" w:eastAsia="ru-RU"/>
        </w:rPr>
      </w:r>
    </w:p>
    <w:p>
      <w:pPr>
        <w:pStyle w:val="Normal"/>
        <w:tabs>
          <w:tab w:val="clear" w:pos="708"/>
          <w:tab w:val="left" w:pos="1044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Про затвердження інформаційних та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технологічних карток адміністративних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послуг відділу архітектури та інспекції ДАБК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mallCaps/>
          <w:spacing w:val="34"/>
          <w:sz w:val="16"/>
          <w:szCs w:val="16"/>
          <w:lang w:val="uk-UA" w:eastAsia="zh-CN"/>
        </w:rPr>
      </w:pPr>
      <w:r>
        <w:rPr>
          <w:rFonts w:eastAsia="Times New Roman" w:cs="Times New Roman" w:ascii="Times New Roman" w:hAnsi="Times New Roman"/>
          <w:b/>
          <w:bCs/>
          <w:smallCaps/>
          <w:spacing w:val="34"/>
          <w:sz w:val="16"/>
          <w:szCs w:val="16"/>
          <w:lang w:val="uk-UA" w:eastAsia="zh-CN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На виконання Законів України «Про місцеве самоврядування в Україні», «Про адміністративні послуги», Переліку адміністративних послуг органів виконавчої влади, затвердженого розпорядженням Кабінету Міністрів України від 16.05.2014 №523-р, «Деякі питання надання адміністративних послуг органів виконавчої влади через центри надання адміністративних послуг», </w:t>
      </w:r>
      <w:r>
        <w:rPr>
          <w:rFonts w:cs="Times New Roman" w:ascii="Times New Roman" w:hAnsi="Times New Roman"/>
          <w:sz w:val="28"/>
          <w:szCs w:val="28"/>
          <w:lang w:val="uk-UA" w:bidi="uk-UA"/>
        </w:rPr>
        <w:t xml:space="preserve">Закону України «Про адміністративні послуги» та відповідно до Закону України «Про регулювання містобудівної діяльності», Земельного кодексу України, Закону України «Про дозвільну систему у сфері господарської діяльності», Закону України «Про рекламу»; постанов Кабінету Міністрів України  від 29.12.2003 №2067 «Про затвердження Типових правил розміщення зовнішньої реклами», від 27 березня 2019 року №367 «Деякі питання дерегуляції господарської діяльності», від 13 квітня 2011 р. № 466 «Деякі питання виконання підготовчих і будівельних робіт» (із змінами), від 13 квітня 2011 р. №461 «Питання прийняття в експлуатацію закінчених будівництвом об'єктів» (із змінами), від 24 грудня 2019 р. №1113 «Про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«check»», від 13 березня 2020 р. № 219 «Про оптимізацію органів державного архітектурно-будівельного контролю та нагляду»; наказів Міністерства регіонального розвитку, будівництва та житлово-комунального господарства України від 05.07.2011 № 103 «Про затвердження Порядку видачі будівельного паспорта забудови земельної ділянки», від 21.10.2011 №244 «Про затвердження Порядку розміщення тимчасових споруд для провадження підприємницької діяльності», від 31 травня 2017 року №135 «Про затвердження Порядку ведення реєстру містобудівних умов та обмежень», 06 листопада 2017 року №289 «Про затвердження Переліку об’єктів будівництва, для проектування яких містобудівні умови та обмеження не надаються», від 03 липня 2018 р. № 158 «Про затвердження Порядку проведення технічного обстеження і прийняття в експлуатацію індивідуальних (садибних) житлових будинків, 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робіт», зареєстрованого в Міністерстві юстиції України 28 серпня 2018 р. за № 976/32428 (із змінами); </w:t>
      </w:r>
      <w:r>
        <w:rPr>
          <w:rFonts w:cs="Times New Roman" w:ascii="Times New Roman" w:hAnsi="Times New Roman"/>
          <w:bCs/>
          <w:sz w:val="28"/>
          <w:szCs w:val="28"/>
          <w:lang w:val="uk-UA" w:bidi="uk-UA"/>
        </w:rPr>
        <w:t xml:space="preserve">рішень сесії Покровської міської ради від 31.05.2019р. № 7 «Про затвердження </w:t>
      </w:r>
      <w:r>
        <w:rPr>
          <w:rFonts w:cs="Times New Roman" w:ascii="Times New Roman" w:hAnsi="Times New Roman"/>
          <w:sz w:val="28"/>
          <w:szCs w:val="28"/>
          <w:lang w:val="uk-UA" w:bidi="uk-UA"/>
        </w:rPr>
        <w:t>Порядку розміщення тимчасових споруд для провадження підприємницької діяльності в м. Покров»,</w:t>
      </w:r>
      <w:r>
        <w:rPr>
          <w:rFonts w:cs="Times New Roman" w:ascii="Times New Roman" w:hAnsi="Times New Roman"/>
          <w:bCs/>
          <w:sz w:val="28"/>
          <w:szCs w:val="28"/>
          <w:lang w:val="uk-UA" w:bidi="uk-UA"/>
        </w:rPr>
        <w:t xml:space="preserve"> від 26.11.2013р. № 26 «Про затвердження Правил благоустрою на території</w:t>
      </w:r>
      <w:r>
        <w:rPr>
          <w:rFonts w:cs="Times New Roman" w:ascii="Times New Roman" w:hAnsi="Times New Roman"/>
          <w:sz w:val="28"/>
          <w:szCs w:val="28"/>
          <w:lang w:val="uk-UA" w:bidi="uk-UA"/>
        </w:rPr>
        <w:t xml:space="preserve"> міста Покров»;</w:t>
      </w:r>
      <w:r>
        <w:rPr>
          <w:rFonts w:cs="Times New Roman" w:ascii="Times New Roman" w:hAnsi="Times New Roman"/>
          <w:bCs/>
          <w:sz w:val="28"/>
          <w:szCs w:val="28"/>
          <w:lang w:val="uk-UA" w:bidi="uk-UA"/>
        </w:rPr>
        <w:t xml:space="preserve"> від 26.06.2020р. № 4 «Про затвердження Правил розміщення зовнішньої реклами на території в межах територіальної громади Покровської міської ради та Положення про порядок плати за тимчасове користування місцями розташування рекламних засобів на території в межах територіальної громади Покровської міської ради»,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Земельного кодексу України, Законів України «Про землеустрій», «Про оренду землі», рішення 6 сесії 8 скликання від 30.04.2021 №29 «Про затвердження Переліку адміністративних послуг, які надаються через Центр надання адміністративних послуг виконавчого комітету Покровської міської ради в новій редакції», виконавчий комітет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b/>
          <w:b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uk-UA"/>
        </w:rPr>
        <w:t>ВИРІШИВ:</w:t>
      </w:r>
    </w:p>
    <w:p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426" w:leader="none"/>
        </w:tabs>
        <w:ind w:left="0" w:hanging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  <w:t>Затвердити інформаційні та технологічні картки адміністративних послуг, що надаються через Центр надання адміністративних послуг відділом архітектури та інспекції державного архітектурно-будівельного контролю, що додаються.</w:t>
      </w:r>
    </w:p>
    <w:p>
      <w:pPr>
        <w:pStyle w:val="NoSpacing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  <w:tab w:val="left" w:pos="426" w:leader="none"/>
        </w:tabs>
        <w:ind w:left="0" w:hanging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  <w:t>Забезпечити передачу інформаційних та технологічних карток адміністративних послуг до Центру надання адміністративних послуг виконавчого комітету Покровської міської ради для використання в роботі та розміщення на веб-сторінці Покровської міської ради.</w:t>
      </w:r>
    </w:p>
    <w:p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  <w:t>3. Координацію роботи щодо виконання цього рішення покласти на начальника відділу архітектури та інспекції ДАБК Галанову В.В., контроль - на заступника міського голови Цупрову Г.А.</w:t>
      </w:r>
    </w:p>
    <w:p>
      <w:pPr>
        <w:pStyle w:val="NoSpacing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</w:r>
    </w:p>
    <w:p>
      <w:pPr>
        <w:pStyle w:val="NoSpacing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cs="Times New Roman" w:ascii="Times New Roman" w:hAnsi="Times New Roman"/>
          <w:bCs/>
          <w:sz w:val="28"/>
          <w:szCs w:val="28"/>
          <w:lang w:val="uk-UA"/>
        </w:rPr>
        <w:t>В.о. м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іськ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ого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 xml:space="preserve"> голов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и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ab/>
        <w:tab/>
        <w:tab/>
        <w:tab/>
        <w:t xml:space="preserve">                                        </w:t>
      </w:r>
      <w:r>
        <w:rPr>
          <w:rFonts w:cs="Times New Roman" w:ascii="Times New Roman" w:hAnsi="Times New Roman"/>
          <w:bCs/>
          <w:sz w:val="28"/>
          <w:szCs w:val="28"/>
          <w:lang w:val="uk-UA"/>
        </w:rPr>
        <w:t>С.С. Курасов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cs="Times New Roman" w:ascii="Times New Roman" w:hAnsi="Times New Roman"/>
          <w:sz w:val="28"/>
          <w:szCs w:val="28"/>
          <w:lang w:val="uk-UA" w:eastAsia="ar-SA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cs="Times New Roman" w:ascii="Times New Roman" w:hAnsi="Times New Roman"/>
          <w:sz w:val="28"/>
          <w:szCs w:val="28"/>
          <w:lang w:val="uk-UA" w:eastAsia="ar-S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cs="Times New Roman" w:ascii="Times New Roman" w:hAnsi="Times New Roman"/>
          <w:sz w:val="26"/>
          <w:szCs w:val="26"/>
          <w:lang w:val="uk-UA"/>
        </w:rPr>
      </w:r>
    </w:p>
    <w:p>
      <w:pPr>
        <w:pStyle w:val="Normal"/>
        <w:suppressAutoHyphens w:val="true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cs="Times New Roman" w:ascii="Times New Roman" w:hAnsi="Times New Roman"/>
          <w:sz w:val="26"/>
          <w:szCs w:val="26"/>
          <w:lang w:val="uk-U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mallCaps/>
          <w:spacing w:val="34"/>
          <w:sz w:val="26"/>
          <w:szCs w:val="26"/>
          <w:lang w:val="uk-UA" w:eastAsia="zh-CN"/>
        </w:rPr>
      </w:pPr>
      <w:r>
        <w:rPr>
          <w:rFonts w:eastAsia="Times New Roman" w:cs="Times New Roman" w:ascii="Times New Roman" w:hAnsi="Times New Roman"/>
          <w:b/>
          <w:bCs/>
          <w:smallCaps/>
          <w:spacing w:val="34"/>
          <w:sz w:val="26"/>
          <w:szCs w:val="26"/>
          <w:lang w:val="uk-UA"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mallCaps/>
          <w:spacing w:val="34"/>
          <w:sz w:val="26"/>
          <w:szCs w:val="26"/>
          <w:lang w:val="uk-UA" w:eastAsia="zh-CN"/>
        </w:rPr>
      </w:pPr>
      <w:r>
        <w:rPr>
          <w:rFonts w:eastAsia="Times New Roman" w:cs="Times New Roman" w:ascii="Times New Roman" w:hAnsi="Times New Roman"/>
          <w:b/>
          <w:bCs/>
          <w:smallCaps/>
          <w:spacing w:val="34"/>
          <w:sz w:val="26"/>
          <w:szCs w:val="26"/>
          <w:lang w:val="uk-UA"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mallCaps/>
          <w:spacing w:val="34"/>
          <w:sz w:val="26"/>
          <w:szCs w:val="26"/>
          <w:lang w:val="uk-UA" w:eastAsia="zh-CN"/>
        </w:rPr>
      </w:pPr>
      <w:r>
        <w:rPr>
          <w:rFonts w:eastAsia="Times New Roman" w:cs="Times New Roman" w:ascii="Times New Roman" w:hAnsi="Times New Roman"/>
          <w:b/>
          <w:bCs/>
          <w:smallCaps/>
          <w:spacing w:val="34"/>
          <w:sz w:val="26"/>
          <w:szCs w:val="26"/>
          <w:lang w:val="uk-UA"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mallCaps/>
          <w:spacing w:val="34"/>
          <w:sz w:val="26"/>
          <w:szCs w:val="26"/>
          <w:lang w:val="uk-UA" w:eastAsia="zh-CN"/>
        </w:rPr>
      </w:pPr>
      <w:r>
        <w:rPr/>
      </w:r>
    </w:p>
    <w:sectPr>
      <w:type w:val="nextPage"/>
      <w:pgSz w:w="11906" w:h="16838"/>
      <w:pgMar w:left="1701" w:right="566" w:header="0" w:top="993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75370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6"/>
    <w:qFormat/>
    <w:rsid w:val="00186857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7"/>
    <w:rsid w:val="00186857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7537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c484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LibreOffice/7.1.3.2$Windows_X86_64 LibreOffice_project/47f78053abe362b9384784d31a6e56f8511eb1c1</Application>
  <AppVersion>15.0000</AppVersion>
  <Pages>2</Pages>
  <Words>535</Words>
  <Characters>3808</Characters>
  <CharactersWithSpaces>4440</CharactersWithSpaces>
  <Paragraphs>13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2021-05-20T05:41:00Z</dcterms:created>
  <dc:creator>digital_PC</dc:creator>
  <dc:description/>
  <dc:language>uk-UA</dc:language>
  <cp:lastModifiedBy/>
  <cp:lastPrinted>2021-06-25T08:13:00Z</cp:lastPrinted>
  <dcterms:modified xsi:type="dcterms:W3CDTF">2021-07-01T11:08:32Z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