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5379085</wp:posOffset>
                </wp:positionH>
                <wp:positionV relativeFrom="page">
                  <wp:posOffset>408305</wp:posOffset>
                </wp:positionV>
                <wp:extent cx="656590" cy="20764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20" cy="207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bidi w:val="0"/>
                              <w:spacing w:lineRule="auto" w:line="240" w:before="0" w:after="0"/>
                              <w:jc w:val="left"/>
                              <w:rPr>
                                <w:rFonts w:ascii="Liberation Serif;Times New Roman" w:hAnsi="Liberation Serif;Times New Roman" w:eastAsia="NSimSun" w:cs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color w:val="auto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f" style="position:absolute;margin-left:423.55pt;margin-top:32.15pt;width:51.6pt;height:16.25pt;mso-wrap-style:square;v-text-anchor:top;mso-position-vertic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bidi w:val="0"/>
                        <w:spacing w:lineRule="auto" w:line="240" w:before="0" w:after="0"/>
                        <w:jc w:val="left"/>
                        <w:rPr>
                          <w:rFonts w:ascii="Liberation Serif;Times New Roman" w:hAnsi="Liberation Serif;Times New Roman" w:eastAsia="NSimSun" w:cs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color w:val="auto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-476250</wp:posOffset>
            </wp:positionV>
            <wp:extent cx="421005" cy="60134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" cy="60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5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bidi w:val="0"/>
        <w:spacing w:lineRule="auto" w:line="240"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5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5"/>
        <w:bidi w:val="0"/>
        <w:spacing w:before="0" w:after="0"/>
        <w:jc w:val="left"/>
        <w:rPr/>
      </w:pPr>
      <w:r>
        <w:rPr>
          <w:rFonts w:eastAsia="Noto Serif CJK SC" w:cs="Lohit Devanagari"/>
          <w:color w:val="auto"/>
          <w:kern w:val="2"/>
          <w:sz w:val="24"/>
          <w:szCs w:val="24"/>
          <w:lang w:val="uk-UA" w:eastAsia="zh-CN" w:bidi="hi-IN"/>
        </w:rPr>
        <w:t xml:space="preserve">20.01.2022 р.                   </w:t>
      </w:r>
      <w:r>
        <w:rPr/>
        <w:t xml:space="preserve">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       </w:t>
      </w:r>
      <w:r>
        <w:rPr>
          <w:b w:val="false"/>
          <w:bCs w:val="false"/>
          <w:sz w:val="24"/>
          <w:szCs w:val="24"/>
        </w:rPr>
        <w:t xml:space="preserve">      № </w:t>
      </w:r>
      <w:r>
        <w:rPr>
          <w:rFonts w:eastAsia="Noto Serif CJK SC" w:cs="Lohit Devanagari"/>
          <w:b w:val="false"/>
          <w:bCs w:val="false"/>
          <w:color w:val="auto"/>
          <w:kern w:val="2"/>
          <w:sz w:val="24"/>
          <w:szCs w:val="24"/>
          <w:lang w:val="uk-UA" w:eastAsia="zh-CN" w:bidi="hi-IN"/>
        </w:rPr>
        <w:t>2/06-53-22</w:t>
      </w:r>
    </w:p>
    <w:p>
      <w:pPr>
        <w:pStyle w:val="Style15"/>
        <w:bidi w:val="0"/>
        <w:spacing w:before="0" w:after="0"/>
        <w:jc w:val="left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487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затвердження умов оренди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 xml:space="preserve">вбудованого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нежитлового приміщення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, розташованого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 по вул.Київська, 9, м.Покров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, включеного до Переліку першого типу</w:t>
      </w:r>
    </w:p>
    <w:p>
      <w:pPr>
        <w:pStyle w:val="Style15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 зв'язку із включенням до Переліку першого типу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вбудованого нежитлового приміщення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 xml:space="preserve"> загальною площею 94,2 кв.м., розташованого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по вул.Київська, 9, м.Покров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Нікопольський район,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Дніпропетровська область,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керуючись Законом України "Про оренду де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ржавного та комунального майна" від 03.10.2019 №157-ІХ, “Порядком переда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чі в оренду державного та комунального майна”, затвердженим постановою КМУ від 03.06.2020 року №483, виконавчий комітет міської ради</w:t>
      </w:r>
    </w:p>
    <w:p>
      <w:pPr>
        <w:pStyle w:val="Normal"/>
        <w:keepNext w:val="tru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 загальною площею 94,2 кв.м., розташоване по вул.Київська, 9, м.Покров, Нікопольський район, Дніпропетровська область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”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додаються.</w:t>
      </w:r>
    </w:p>
    <w:p>
      <w:pPr>
        <w:pStyle w:val="Style15"/>
        <w:widowControl/>
        <w:suppressAutoHyphens w:val="true"/>
        <w:bidi w:val="0"/>
        <w:spacing w:lineRule="auto" w:line="240" w:before="0" w:after="14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2. Контроль за виконанням  цього  рішення  покласти  на заступника міського голови Олександра Чистякова.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Олександр ШАПОВАЛ</w:t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firstLine="5329"/>
        <w:jc w:val="left"/>
        <w:rPr/>
      </w:pPr>
      <w:r>
        <w:rPr>
          <w:rFonts w:cs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76" w:before="0" w:after="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 xml:space="preserve">від 20.01.2022 </w:t>
      </w:r>
      <w:r>
        <w:rPr>
          <w:rFonts w:eastAsia="Calibri" w:cs="Times New Roman" w:ascii="Times New Roman" w:hAnsi="Times New Roman"/>
          <w:color w:val="000000"/>
          <w:kern w:val="2"/>
          <w:sz w:val="28"/>
          <w:szCs w:val="28"/>
          <w:lang w:val="uk-UA" w:eastAsia="zh-CN" w:bidi="ar-SA"/>
        </w:rPr>
        <w:t>№2</w:t>
      </w:r>
      <w:r>
        <w:rPr>
          <w:rFonts w:eastAsia="Noto Serif CJK SC" w:cs="Lohit Devanagari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hi-IN"/>
        </w:rPr>
        <w:t>/06-53-22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2"/>
        </w:numPr>
        <w:tabs>
          <w:tab w:val="clear" w:pos="709"/>
          <w:tab w:val="left" w:pos="5245" w:leader="none"/>
        </w:tabs>
        <w:spacing w:lineRule="auto" w:line="276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 загальною площею 94,2 кв.м., розташоване по вул.Київська, 9, м.Покров, Нікопольський район, Дніпропетровська область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»</w:t>
      </w:r>
    </w:p>
    <w:p>
      <w:pPr>
        <w:pStyle w:val="Normal"/>
        <w:tabs>
          <w:tab w:val="clear" w:pos="709"/>
          <w:tab w:val="left" w:pos="5245" w:leader="none"/>
        </w:tabs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 Умови, на яких здійснюється оренда об’єкта оренди, включеного до Переліку першого типу, а саме: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>вбудоване нежитлове приміщення загальною площею 94,2 кв.м., розташоване по вул.Київська, 9, м.Покров, Нікопольський район, Дніпропетровська область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” (далі — Об'єкт оренди):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1574,30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із зниженням стартової ціни -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787,15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787,15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1.3. Розмір гарантійного внеску для участі в електронному аукціоні становить 3148,60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грн.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650,00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1 крок.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 Додаткові умови оренди: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Об’єкт оренди може бути використаний за цільовим призначенням на розсуд орендаря, за винятком таких цільових призначень: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 w:bidi="ar-SA"/>
        </w:rPr>
        <w:t xml:space="preserve">-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Заклади харчування, кафе, бари, ресторани, які здійснюють продаж товарів підакцизної групи.Торговельні об’єкти, які здійснюють продаж товарів підакцизної групи;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 xml:space="preserve">- Нічні клуби. Ресторани з нічним режимом роботи (після 22 год). Сауни, лазні. Організація концертів та іншої видовищно-розважальної діяльності. Готелі, хостели, турбази, мотелі, кемпінги, літні будиночки. Комп’ютерні клуби та Інтернет-кафе;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Пункти обміну валюти, банкомати, платіжні термінали. Торговельні автомати. Розміщення технічних засобів і антен операторів телекомунікацій, суб’єктів підприємницької діяльності, які надають послуги зв’язку, послуги доступу до Інтернету, телекомунікації, передання сигналу мовлення. Розміщення зовнішньої реклами на будівлях і спорудах. Продаж книг, газет і журналів;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Ритуальні послуги. Громадські вбиральні. Збір і сортування вторинної сировини;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  <w:t>- Стоянки автомобілів. Розміщення транспортних підприємств з перевезення пасажирів і вантажів. Станції технічного обсл.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uk-UA" w:bidi="ar-SA"/>
        </w:rPr>
        <w:t>На підставі статті 8 Закону України “Про оренду державного і комунального майна” орендар, визначений за результатами аукціону зобов’язаний відшкодувати балансоутримувачу вартість проведення оцінки об’єкта у розмірі 2500 (дві тисячі пʼятсот) гривень 00 коп.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191919"/>
          <w:spacing w:val="0"/>
          <w:sz w:val="28"/>
          <w:szCs w:val="28"/>
          <w:shd w:fill="auto" w:val="clear"/>
          <w:lang w:val="uk-UA" w:bidi="ar-SA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widowControl w:val="false"/>
        <w:suppressAutoHyphens w:val="true"/>
        <w:bidi w:val="0"/>
        <w:spacing w:lineRule="auto" w:line="276" w:before="0" w:after="143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В.о. начальника відділу економіки</w:t>
        <w:tab/>
        <w:t xml:space="preserve">          </w:t>
        <w:tab/>
        <w:tab/>
        <w:t xml:space="preserve">                          Тетяна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ДРАШКО</w:t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>
          <w:b/>
          <w:bCs/>
          <w:smallCaps/>
          <w:spacing w:val="34"/>
          <w:sz w:val="28"/>
          <w:szCs w:val="28"/>
        </w:rPr>
      </w:r>
    </w:p>
    <w:p>
      <w:pPr>
        <w:pStyle w:val="Normal"/>
        <w:bidi w:val="0"/>
        <w:jc w:val="center"/>
        <w:rPr>
          <w:b/>
          <w:b/>
          <w:bCs/>
          <w:smallCap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Обычный (веб)"/>
    <w:basedOn w:val="Normal"/>
    <w:qFormat/>
    <w:pPr>
      <w:spacing w:before="280" w:after="280"/>
    </w:pPr>
    <w:rPr/>
  </w:style>
  <w:style w:type="paragraph" w:styleId="Style21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355</TotalTime>
  <Application>LibreOffice/7.1.5.2$Linux_X86_64 LibreOffice_project/10$Build-2</Application>
  <AppVersion>15.0000</AppVersion>
  <Pages>3</Pages>
  <Words>550</Words>
  <Characters>3852</Characters>
  <CharactersWithSpaces>4739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2022-01-25T08:59:49Z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