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 р.  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314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 має статус дитини, позбавленої батьківського піклування.</w:t>
      </w:r>
    </w:p>
    <w:p>
      <w:pPr>
        <w:pStyle w:val="Rvps2"/>
        <w:shd w:val="clear" w:fill="FFFFFF"/>
        <w:suppressAutoHyphens w:val="true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За рішенням Орджонікідзевського міського суду Дніпропетровської області від 07.06.2021 р., яке набрало законної сили 13.07.2021 р.,  малолітню 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відібрано у матері, гр.Х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батька, гр.ХХ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без позбавлення останніх батьківських прав.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№09, виконавчий комітет Покровської міської ради Дніпропетровської області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2.З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Дубіну Наталю Юзефівну, директора КЗ “МГБ “Надія” ПМР ДО”,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spacing w:before="0" w:after="0"/>
        <w:jc w:val="both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5.Центру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до 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/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420" w:top="105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LibreOffice/7.1.3.2$Windows_X86_64 LibreOffice_project/47f78053abe362b9384784d31a6e56f8511eb1c1</Application>
  <AppVersion>15.0000</AppVersion>
  <Pages>3</Pages>
  <Words>566</Words>
  <Characters>4192</Characters>
  <CharactersWithSpaces>4978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2021-07-27T18:34:14Z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