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-200025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р. 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м.Покров                               № 317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spacing w:before="0" w:after="0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71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яка залишилась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заочним рішенням Орджонікідзевського міського суду Дніпропетровської області від 12.03.2021 р. (набрало законної сили 22.04.2021 р.),  позбавлено батьківських прав.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№06,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ий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)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малолітньої 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2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Arial Blac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3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LibreOffice/7.1.5.2$Linux_X86_64 LibreOffice_project/10$Build-2</Application>
  <AppVersion>15.0000</AppVersion>
  <Pages>3</Pages>
  <Words>588</Words>
  <Characters>4308</Characters>
  <CharactersWithSpaces>5113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2021-10-18T16:13:45Z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