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5564505</wp:posOffset>
                </wp:positionH>
                <wp:positionV relativeFrom="paragraph">
                  <wp:posOffset>-344805</wp:posOffset>
                </wp:positionV>
                <wp:extent cx="607695" cy="37020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60" cy="3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438.15pt;margin-top:-27.15pt;width:47.75pt;height:29.05pt;mso-wrap-style:none;v-text-anchor:middle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>РІШЕННЯ</w:t>
      </w:r>
    </w:p>
    <w:p>
      <w:pPr>
        <w:pStyle w:val="Style17"/>
        <w:widowControl w:val="fals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/>
          <w:b/>
          <w:bCs/>
          <w:kern w:val="2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28.11.2022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м.Покров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>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344/06-53-22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звільнення від сплати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 користування місцем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розміщення рекламного засобу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ФОП Іващенко Н.П.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Іващенко Наталії Павлівни щодо звільнення від сплати за користування місцем розміщення рекламного засобу на період розміщення соціальної реклами (інформації соціального характеру) на білборді, який розташований в районі будинку 13 на                 вул. Соборній, керуючись п. 28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58 сесії міської ради 7 скликання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ст. 12 Закону України «Про рекламу»,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 Звільнити ФОП Івщенко Наталію Павлівну від сплати </w:t>
      </w:r>
      <w:r>
        <w:rPr>
          <w:rFonts w:cs="Times New Roman" w:ascii="Times New Roman" w:hAnsi="Times New Roman"/>
          <w:sz w:val="28"/>
          <w:szCs w:val="28"/>
          <w:lang w:val="uk-UA"/>
        </w:rPr>
        <w:t>за користування місцем розміщення рекламного засобу на період розміщення соціальної реклами (інформації соціального характеру) на білборді, який розташований в районі будинку 13 на вул. Соборній з 01.12.2022 до 31.12.2022 року.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 голова</w:t>
        <w:tab/>
        <w:tab/>
        <w:tab/>
        <w:tab/>
        <w:tab/>
        <w:tab/>
        <w:t xml:space="preserve">   Олександр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1134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8685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LibreOffice/7.0.3.1$Windows_X86_64 LibreOffice_project/d7547858d014d4cf69878db179d326fc3483e082</Application>
  <Pages>1</Pages>
  <Words>173</Words>
  <Characters>1151</Characters>
  <CharactersWithSpaces>1412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2020-02-18T12:07:00Z</dcterms:created>
  <dc:creator>digital_PC</dc:creator>
  <dc:description/>
  <dc:language>uk-UA</dc:language>
  <cp:lastModifiedBy/>
  <cp:lastPrinted>2020-02-27T11:31:00Z</cp:lastPrinted>
  <dcterms:modified xsi:type="dcterms:W3CDTF">2022-12-02T10:20:40Z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UralSOFT</vt:lpwstr>
  </property>
</Properties>
</file>