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rPr>
          <w:rFonts w:ascii="Times New Roman" w:hAnsi="Times New Roman" w:eastAsia="Times New Roman" w:cs="Times New Roman"/>
          <w:b/>
          <w:b/>
          <w:sz w:val="28"/>
          <w:szCs w:val="28"/>
          <w:lang w:eastAsia="ru-RU"/>
        </w:rPr>
      </w:pPr>
      <w:r>
        <mc:AlternateContent>
          <mc:Choice Requires="wps">
            <w:drawing>
              <wp:anchor behindDoc="0" distT="0" distB="0" distL="0" distR="0" simplePos="0" locked="0" layoutInCell="0" allowOverlap="1" relativeHeight="4">
                <wp:simplePos x="0" y="0"/>
                <wp:positionH relativeFrom="column">
                  <wp:posOffset>3357245</wp:posOffset>
                </wp:positionH>
                <wp:positionV relativeFrom="paragraph">
                  <wp:posOffset>106045</wp:posOffset>
                </wp:positionV>
                <wp:extent cx="2820670" cy="527050"/>
                <wp:effectExtent l="0" t="0" r="0" b="0"/>
                <wp:wrapNone/>
                <wp:docPr id="1" name="Фігура1"/>
                <a:graphic xmlns:a="http://schemas.openxmlformats.org/drawingml/2006/main">
                  <a:graphicData uri="http://schemas.microsoft.com/office/word/2010/wordprocessingShape">
                    <wps:wsp>
                      <wps:cNvSpPr/>
                      <wps:spPr>
                        <a:xfrm>
                          <a:off x="0" y="0"/>
                          <a:ext cx="2819880" cy="526320"/>
                        </a:xfrm>
                        <a:prstGeom prst="rect">
                          <a:avLst/>
                        </a:prstGeom>
                        <a:noFill/>
                        <a:ln w="0">
                          <a:noFill/>
                        </a:ln>
                      </wps:spPr>
                      <wps:style>
                        <a:lnRef idx="0"/>
                        <a:fillRef idx="0"/>
                        <a:effectRef idx="0"/>
                        <a:fontRef idx="minor"/>
                      </wps:style>
                      <wps:txbx>
                        <w:txbxContent>
                          <w:p>
                            <w:pPr>
                              <w:pStyle w:val="Style21"/>
                              <w:overflowPunct w:val="true"/>
                              <w:spacing w:lineRule="auto" w:line="240" w:before="0" w:after="200"/>
                              <w:contextualSpacing/>
                              <w:jc w:val="right"/>
                              <w:rPr/>
                            </w:pPr>
                            <w:r>
                              <w:rPr>
                                <w:rFonts w:eastAsia="Calibri" w:cs="" w:ascii="Times New Roman" w:hAnsi="Times New Roman"/>
                                <w:b/>
                                <w:bCs/>
                                <w:color w:val="C9211E"/>
                                <w:kern w:val="0"/>
                                <w:sz w:val="28"/>
                                <w:szCs w:val="28"/>
                                <w:lang w:val="ru-RU" w:eastAsia="ru-RU" w:bidi="ar-SA"/>
                              </w:rPr>
                              <w:t>Втратило чинність</w:t>
                            </w:r>
                          </w:p>
                          <w:p>
                            <w:pPr>
                              <w:pStyle w:val="Style21"/>
                              <w:overflowPunct w:val="true"/>
                              <w:spacing w:lineRule="auto" w:line="240" w:before="0" w:after="200"/>
                              <w:contextualSpacing/>
                              <w:rPr/>
                            </w:pPr>
                            <w:r>
                              <w:rPr>
                                <w:rFonts w:eastAsia="Calibri" w:cs="" w:ascii="Times New Roman" w:hAnsi="Times New Roman"/>
                                <w:b/>
                                <w:bCs/>
                                <w:color w:val="C9211E"/>
                                <w:kern w:val="0"/>
                                <w:sz w:val="22"/>
                                <w:szCs w:val="22"/>
                                <w:lang w:val="ru-RU" w:eastAsia="ru-RU" w:bidi="ar-SA"/>
                              </w:rPr>
                              <w:t xml:space="preserve">     </w:t>
                            </w:r>
                            <w:r>
                              <w:rPr>
                                <w:rFonts w:eastAsia="Calibri" w:cs="" w:ascii="Times New Roman" w:hAnsi="Times New Roman"/>
                                <w:b/>
                                <w:bCs/>
                                <w:color w:val="C9211E"/>
                                <w:kern w:val="0"/>
                                <w:sz w:val="22"/>
                                <w:szCs w:val="22"/>
                                <w:lang w:val="ru-RU" w:eastAsia="ru-RU" w:bidi="ar-SA"/>
                              </w:rPr>
                              <w:t>Підстава — рішення №30</w:t>
                            </w:r>
                            <w:r>
                              <w:rPr>
                                <w:rFonts w:eastAsia="Calibri" w:cs="" w:ascii="Times New Roman" w:hAnsi="Times New Roman"/>
                                <w:b/>
                                <w:bCs/>
                                <w:color w:val="C9211E"/>
                                <w:kern w:val="0"/>
                                <w:sz w:val="22"/>
                                <w:szCs w:val="22"/>
                                <w:lang w:val="ru-RU" w:eastAsia="ru-RU" w:bidi="ar-SA"/>
                              </w:rPr>
                              <w:t>4</w:t>
                            </w:r>
                            <w:r>
                              <w:rPr>
                                <w:rFonts w:eastAsia="Calibri" w:cs="" w:ascii="Times New Roman" w:hAnsi="Times New Roman"/>
                                <w:b/>
                                <w:bCs/>
                                <w:color w:val="C9211E"/>
                                <w:kern w:val="0"/>
                                <w:sz w:val="22"/>
                                <w:szCs w:val="22"/>
                                <w:lang w:val="ru-RU" w:eastAsia="ru-RU" w:bidi="ar-SA"/>
                              </w:rPr>
                              <w:t xml:space="preserve"> від 26.07.21 р.</w:t>
                            </w:r>
                          </w:p>
                          <w:p>
                            <w:pPr>
                              <w:pStyle w:val="Style21"/>
                              <w:overflowPunct w:val="true"/>
                              <w:spacing w:before="0" w:after="200"/>
                              <w:rPr>
                                <w:rFonts w:eastAsia="Calibri" w:cs=""/>
                                <w:color w:val="C9211E"/>
                                <w:kern w:val="0"/>
                                <w:lang w:val="ru-RU" w:eastAsia="ru-RU" w:bidi="ar-SA"/>
                              </w:rPr>
                            </w:pPr>
                            <w:r>
                              <w:rPr/>
                            </w:r>
                          </w:p>
                        </w:txbxContent>
                      </wps:txbx>
                      <wps:bodyPr lIns="0" rIns="0" tIns="0" bIns="0">
                        <a:spAutoFit/>
                      </wps:bodyPr>
                    </wps:wsp>
                  </a:graphicData>
                </a:graphic>
              </wp:anchor>
            </w:drawing>
          </mc:Choice>
          <mc:Fallback>
            <w:pict>
              <v:rect id="shape_0" ID="Фігура1" stroked="f" style="position:absolute;margin-left:264.35pt;margin-top:8.35pt;width:222pt;height:41.4pt;mso-wrap-style:square;v-text-anchor:top">
                <v:fill o:detectmouseclick="t" on="false"/>
                <v:stroke color="#3465a4" joinstyle="round" endcap="flat"/>
                <v:textbox>
                  <w:txbxContent>
                    <w:p>
                      <w:pPr>
                        <w:pStyle w:val="Style21"/>
                        <w:overflowPunct w:val="true"/>
                        <w:spacing w:lineRule="auto" w:line="240" w:before="0" w:after="200"/>
                        <w:contextualSpacing/>
                        <w:jc w:val="right"/>
                        <w:rPr/>
                      </w:pPr>
                      <w:r>
                        <w:rPr>
                          <w:rFonts w:eastAsia="Calibri" w:cs="" w:ascii="Times New Roman" w:hAnsi="Times New Roman"/>
                          <w:b/>
                          <w:bCs/>
                          <w:color w:val="C9211E"/>
                          <w:kern w:val="0"/>
                          <w:sz w:val="28"/>
                          <w:szCs w:val="28"/>
                          <w:lang w:val="ru-RU" w:eastAsia="ru-RU" w:bidi="ar-SA"/>
                        </w:rPr>
                        <w:t>Втратило чинність</w:t>
                      </w:r>
                    </w:p>
                    <w:p>
                      <w:pPr>
                        <w:pStyle w:val="Style21"/>
                        <w:overflowPunct w:val="true"/>
                        <w:spacing w:lineRule="auto" w:line="240" w:before="0" w:after="200"/>
                        <w:contextualSpacing/>
                        <w:rPr/>
                      </w:pPr>
                      <w:r>
                        <w:rPr>
                          <w:rFonts w:eastAsia="Calibri" w:cs="" w:ascii="Times New Roman" w:hAnsi="Times New Roman"/>
                          <w:b/>
                          <w:bCs/>
                          <w:color w:val="C9211E"/>
                          <w:kern w:val="0"/>
                          <w:sz w:val="22"/>
                          <w:szCs w:val="22"/>
                          <w:lang w:val="ru-RU" w:eastAsia="ru-RU" w:bidi="ar-SA"/>
                        </w:rPr>
                        <w:t xml:space="preserve">     </w:t>
                      </w:r>
                      <w:r>
                        <w:rPr>
                          <w:rFonts w:eastAsia="Calibri" w:cs="" w:ascii="Times New Roman" w:hAnsi="Times New Roman"/>
                          <w:b/>
                          <w:bCs/>
                          <w:color w:val="C9211E"/>
                          <w:kern w:val="0"/>
                          <w:sz w:val="22"/>
                          <w:szCs w:val="22"/>
                          <w:lang w:val="ru-RU" w:eastAsia="ru-RU" w:bidi="ar-SA"/>
                        </w:rPr>
                        <w:t>Підстава — рішення №30</w:t>
                      </w:r>
                      <w:r>
                        <w:rPr>
                          <w:rFonts w:eastAsia="Calibri" w:cs="" w:ascii="Times New Roman" w:hAnsi="Times New Roman"/>
                          <w:b/>
                          <w:bCs/>
                          <w:color w:val="C9211E"/>
                          <w:kern w:val="0"/>
                          <w:sz w:val="22"/>
                          <w:szCs w:val="22"/>
                          <w:lang w:val="ru-RU" w:eastAsia="ru-RU" w:bidi="ar-SA"/>
                        </w:rPr>
                        <w:t>4</w:t>
                      </w:r>
                      <w:r>
                        <w:rPr>
                          <w:rFonts w:eastAsia="Calibri" w:cs="" w:ascii="Times New Roman" w:hAnsi="Times New Roman"/>
                          <w:b/>
                          <w:bCs/>
                          <w:color w:val="C9211E"/>
                          <w:kern w:val="0"/>
                          <w:sz w:val="22"/>
                          <w:szCs w:val="22"/>
                          <w:lang w:val="ru-RU" w:eastAsia="ru-RU" w:bidi="ar-SA"/>
                        </w:rPr>
                        <w:t xml:space="preserve"> від 26.07.21 р.</w:t>
                      </w:r>
                    </w:p>
                    <w:p>
                      <w:pPr>
                        <w:pStyle w:val="Style21"/>
                        <w:overflowPunct w:val="true"/>
                        <w:spacing w:before="0" w:after="200"/>
                        <w:rPr>
                          <w:rFonts w:eastAsia="Calibri" w:cs=""/>
                          <w:color w:val="C9211E"/>
                          <w:kern w:val="0"/>
                          <w:lang w:val="ru-RU" w:eastAsia="ru-RU" w:bidi="ar-SA"/>
                        </w:rPr>
                      </w:pPr>
                      <w:r>
                        <w:rPr/>
                      </w:r>
                    </w:p>
                  </w:txbxContent>
                </v:textbox>
                <w10:wrap type="none"/>
              </v:rect>
            </w:pict>
          </mc:Fallback>
        </mc:AlternateContent>
        <w:drawing>
          <wp:anchor behindDoc="0" distT="0" distB="0" distL="114300" distR="114300" simplePos="0" locked="0" layoutInCell="0" allowOverlap="1" relativeHeight="2">
            <wp:simplePos x="0" y="0"/>
            <wp:positionH relativeFrom="column">
              <wp:posOffset>2713355</wp:posOffset>
            </wp:positionH>
            <wp:positionV relativeFrom="paragraph">
              <wp:posOffset>43815</wp:posOffset>
            </wp:positionV>
            <wp:extent cx="431800" cy="616585"/>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31800" cy="616585"/>
                    </a:xfrm>
                    <a:prstGeom prst="rect">
                      <a:avLst/>
                    </a:prstGeom>
                  </pic:spPr>
                </pic:pic>
              </a:graphicData>
            </a:graphic>
          </wp:anchor>
        </w:drawing>
      </w:r>
      <w:r>
        <w:rPr>
          <w:rFonts w:eastAsia="Times New Roman" w:cs="Times New Roman" w:ascii="Times New Roman" w:hAnsi="Times New Roman"/>
          <w:b/>
          <w:sz w:val="28"/>
          <w:szCs w:val="28"/>
          <w:lang w:val="ru-RU" w:eastAsia="ru-RU"/>
        </w:rPr>
        <w:t xml:space="preserve"> </w:t>
      </w:r>
    </w:p>
    <w:p>
      <w:pPr>
        <w:pStyle w:val="Normal"/>
        <w:spacing w:lineRule="auto" w:line="240" w:before="0" w:after="0"/>
        <w:ind w:left="1416" w:firstLine="708"/>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r>
        <w:rPr>
          <w:rFonts w:eastAsia="Times New Roman" w:cs="Times New Roman" w:ascii="Times New Roman" w:hAnsi="Times New Roman"/>
          <w:b/>
          <w:sz w:val="28"/>
          <w:szCs w:val="28"/>
          <w:lang w:eastAsia="ru-RU"/>
        </w:rPr>
        <w:t xml:space="preserve">МІСЦЕВЕ САМОВРЯДУВАННЯ                           </w:t>
      </w:r>
      <w:r>
        <w:rPr>
          <w:rFonts w:eastAsia="Times New Roman" w:cs="Times New Roman" w:ascii="Times New Roman" w:hAnsi="Times New Roman"/>
          <w:sz w:val="28"/>
          <w:szCs w:val="28"/>
          <w:lang w:eastAsia="ru-RU"/>
        </w:rPr>
        <w:t xml:space="preserve">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ВИКОНАВЧИЙ КОМІТЕТ ПОКРОВСЬКОЇ МІСЬКОЇ РАДИ</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ДНІПРОПЕТРОВСЬКОЇ ОБЛАСТІ</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mc:AlternateContent>
          <mc:Choice Requires="wps">
            <w:drawing>
              <wp:anchor behindDoc="0" distT="0" distB="0" distL="0" distR="0" simplePos="0" locked="0" layoutInCell="0" allowOverlap="1" relativeHeight="3">
                <wp:simplePos x="0" y="0"/>
                <wp:positionH relativeFrom="column">
                  <wp:posOffset>-60325</wp:posOffset>
                </wp:positionH>
                <wp:positionV relativeFrom="paragraph">
                  <wp:posOffset>185420</wp:posOffset>
                </wp:positionV>
                <wp:extent cx="6135370" cy="1905"/>
                <wp:effectExtent l="0" t="0" r="0" b="0"/>
                <wp:wrapNone/>
                <wp:docPr id="4" name="Прямая со стрелкой 3"/>
                <a:graphic xmlns:a="http://schemas.openxmlformats.org/drawingml/2006/main">
                  <a:graphicData uri="http://schemas.microsoft.com/office/word/2010/wordprocessingShape">
                    <wps:wsp>
                      <wps:cNvSpPr/>
                      <wps:spPr>
                        <a:xfrm>
                          <a:off x="0" y="0"/>
                          <a:ext cx="6134760" cy="144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 І Ш Е Н Н Я</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«23» серпня 2017р.                                                                                      № 345</w:t>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lineRule="auto" w:line="240" w:before="0" w:after="0"/>
        <w:rPr>
          <w:rFonts w:ascii="Times New Roman" w:hAnsi="Times New Roman" w:eastAsia="Times New Roman" w:cs="Times New Roman"/>
          <w:bCs/>
          <w:sz w:val="28"/>
          <w:szCs w:val="28"/>
          <w:lang w:eastAsia="ru-RU"/>
        </w:rPr>
      </w:pPr>
      <w:r>
        <w:rPr>
          <w:rFonts w:eastAsia="Times New Roman" w:cs="Times New Roman" w:ascii="Times New Roman" w:hAnsi="Times New Roman"/>
          <w:bCs/>
          <w:sz w:val="28"/>
          <w:szCs w:val="28"/>
          <w:lang w:eastAsia="ru-RU"/>
        </w:rPr>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Про затвердження Положення, </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Регламенту та складу координаційної ради </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з питань протидії туберкульозу </w:t>
      </w:r>
    </w:p>
    <w:p>
      <w:pPr>
        <w:pStyle w:val="Normal"/>
        <w:spacing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та ВІЛ-інфекції/СНІДу</w:t>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________________________________________    </w:t>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shd w:fill="FFFFFF" w:val="clear"/>
          <w:lang w:eastAsia="ru-RU"/>
        </w:rPr>
        <w:tab/>
        <w:t xml:space="preserve">Відповідно    до  </w:t>
      </w:r>
      <w:r>
        <w:rPr>
          <w:rFonts w:eastAsia="Times New Roman" w:cs="Times New Roman" w:ascii="Times New Roman" w:hAnsi="Times New Roman"/>
          <w:bCs/>
          <w:sz w:val="28"/>
          <w:szCs w:val="28"/>
          <w:lang w:eastAsia="ru-RU"/>
        </w:rPr>
        <w:t xml:space="preserve">Закону України «Про протидію поширенню хвороб, зумовлених вірусом імунодефіциту людини (ВІЛ), та правовий і соціальний захист людей, які живуть з ВІЛ»  { Із змінами, внесеними згідно із Законами  N5460-VI ( 5460-17 ) від 16.10.2012, ВВР, 2014, N 2-3, ст.41 } та відповідно </w:t>
      </w:r>
      <w:r>
        <w:rPr>
          <w:rFonts w:eastAsia="Times New Roman" w:cs="Times New Roman" w:ascii="Times New Roman" w:hAnsi="Times New Roman"/>
          <w:sz w:val="28"/>
          <w:szCs w:val="28"/>
          <w:shd w:fill="FFFFFF" w:val="clear"/>
          <w:lang w:eastAsia="ru-RU"/>
        </w:rPr>
        <w:t xml:space="preserve">до Указу Президента України </w:t>
      </w:r>
      <w:r>
        <w:rPr>
          <w:rFonts w:eastAsia="Times New Roman" w:cs="Times New Roman" w:ascii="Times New Roman" w:hAnsi="Times New Roman"/>
          <w:iCs/>
          <w:sz w:val="28"/>
          <w:szCs w:val="28"/>
          <w:lang w:eastAsia="ru-RU"/>
        </w:rPr>
        <w:t xml:space="preserve">{ Із змінами, внесеними згідно з Указом Президента </w:t>
      </w:r>
      <w:r>
        <w:rPr>
          <w:rFonts w:eastAsia="Times New Roman" w:cs="Times New Roman" w:ascii="Times New Roman" w:hAnsi="Times New Roman"/>
          <w:iCs/>
          <w:sz w:val="28"/>
          <w:szCs w:val="28"/>
          <w:lang w:val="ru-RU" w:eastAsia="ru-RU"/>
        </w:rPr>
        <w:t>N</w:t>
      </w:r>
      <w:r>
        <w:rPr>
          <w:rFonts w:eastAsia="Times New Roman" w:cs="Times New Roman" w:ascii="Times New Roman" w:hAnsi="Times New Roman"/>
          <w:iCs/>
          <w:sz w:val="28"/>
          <w:szCs w:val="28"/>
          <w:lang w:eastAsia="ru-RU"/>
        </w:rPr>
        <w:t>481/2010 (</w:t>
      </w:r>
      <w:hyperlink r:id="rId3" w:tgtFrame="_blank">
        <w:r>
          <w:rPr>
            <w:rFonts w:eastAsia="Times New Roman" w:cs="Times New Roman" w:ascii="Times New Roman" w:hAnsi="Times New Roman"/>
            <w:iCs/>
            <w:sz w:val="28"/>
            <w:szCs w:val="28"/>
            <w:lang w:eastAsia="ru-RU"/>
          </w:rPr>
          <w:t>481/2010</w:t>
        </w:r>
      </w:hyperlink>
      <w:r>
        <w:rPr>
          <w:rFonts w:eastAsia="Times New Roman" w:cs="Times New Roman" w:ascii="Times New Roman" w:hAnsi="Times New Roman"/>
          <w:iCs/>
          <w:sz w:val="28"/>
          <w:szCs w:val="28"/>
          <w:lang w:eastAsia="ru-RU"/>
        </w:rPr>
        <w:t xml:space="preserve"> ) від 02.04.2010 } </w:t>
      </w:r>
      <w:r>
        <w:rPr>
          <w:rFonts w:eastAsia="Times New Roman" w:cs="Times New Roman" w:ascii="Times New Roman" w:hAnsi="Times New Roman"/>
          <w:sz w:val="28"/>
          <w:szCs w:val="28"/>
          <w:shd w:fill="FFFFFF" w:val="clear"/>
          <w:lang w:eastAsia="ru-RU"/>
        </w:rPr>
        <w:t>«Про додаткові невідкладні заходи щодо протидії ВІЛ-інфекції, СНІДу в Україні», к</w:t>
      </w:r>
      <w:r>
        <w:rPr>
          <w:rFonts w:eastAsia="Times New Roman" w:cs="Times New Roman" w:ascii="Times New Roman" w:hAnsi="Times New Roman"/>
          <w:sz w:val="28"/>
          <w:szCs w:val="28"/>
          <w:lang w:eastAsia="ru-RU"/>
        </w:rPr>
        <w:t xml:space="preserve">еруючись п. п. 6 п «а», п. п. 1,2 п «б» ст. 32, ст. 40 Закону України «Про місцеве самоврядування в Україні» та міської програми «Протидії розповсюдження інфекційних соціально – небезпечних хвороб у м. Покров на 2015-2020 роки»  рішення 43 сесії 6 скликання  від 23.12.2014  № 27 (з урахуванням внесених змін рішенням ІІ пленарного засідання 17 сесії 7 скликання від 20.01.2017р. №20 ), враховуючи кадрові зміни, виконавчий комітет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ВИРІШИВ:</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ab/>
        <w:t>1. Затвердити Положення про координаційну раду з питань протидії туберкульозу та ВІЛ- інфекції/СНІДу,  виклавши його в новій редакції, що додається (додаток 1).</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2. Затвердити Регламент координаційної ради з питань протидії туберкульозу та ВІЛ-інфекції/СНІДу, виклавши його в новій редакції, що додається (додаток2).</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ab/>
        <w:t>3. Затвердити  склад координаційної ради з питань протидії туберкульозу та ВІЛ-інфекції/СНІДу, виклавши його в новій редакції, що додається (додаток3).</w:t>
      </w:r>
    </w:p>
    <w:p>
      <w:pPr>
        <w:pStyle w:val="Normal"/>
        <w:spacing w:lineRule="auto" w:line="240" w:before="0" w:after="0"/>
        <w:jc w:val="both"/>
        <w:rPr>
          <w:rFonts w:ascii="Times New Roman" w:hAnsi="Times New Roman" w:eastAsia="Times New Roman" w:cs="Times New Roman"/>
          <w:sz w:val="28"/>
          <w:szCs w:val="28"/>
          <w:lang w:val="ru-RU" w:eastAsia="ru-RU"/>
        </w:rPr>
      </w:pPr>
      <w:r>
        <w:rPr>
          <w:rFonts w:cs="Times New Roman" w:ascii="Times New Roman" w:hAnsi="Times New Roman"/>
          <w:sz w:val="28"/>
          <w:szCs w:val="28"/>
        </w:rPr>
        <w:t xml:space="preserve">          </w:t>
      </w:r>
      <w:r>
        <w:rPr>
          <w:rFonts w:cs="Times New Roman" w:ascii="Times New Roman" w:hAnsi="Times New Roman"/>
          <w:sz w:val="28"/>
          <w:szCs w:val="28"/>
        </w:rPr>
        <w:t>4.  Визнати такими, що втратили чинність:</w:t>
      </w:r>
    </w:p>
    <w:p>
      <w:pPr>
        <w:pStyle w:val="Normal"/>
        <w:spacing w:lineRule="auto" w:line="240" w:before="0" w:after="0"/>
        <w:rPr>
          <w:rFonts w:ascii="Times New Roman" w:hAnsi="Times New Roman" w:eastAsia="Times New Roman" w:cs="Times New Roman"/>
          <w:sz w:val="28"/>
          <w:szCs w:val="28"/>
          <w:lang w:val="ru-RU" w:eastAsia="uk-UA"/>
        </w:rPr>
      </w:pPr>
      <w:r>
        <w:rPr>
          <w:rFonts w:eastAsia="Times New Roman" w:cs="Times New Roman" w:ascii="Times New Roman" w:hAnsi="Times New Roman"/>
          <w:sz w:val="28"/>
          <w:szCs w:val="28"/>
          <w:lang w:val="ru-RU" w:eastAsia="ru-RU"/>
        </w:rPr>
        <w:t xml:space="preserve">- </w:t>
      </w:r>
      <w:r>
        <w:rPr>
          <w:rFonts w:eastAsia="Times New Roman" w:cs="Times New Roman" w:ascii="Times New Roman" w:hAnsi="Times New Roman"/>
          <w:sz w:val="28"/>
          <w:szCs w:val="28"/>
          <w:lang w:eastAsia="ru-RU"/>
        </w:rPr>
        <w:t>рішення виконавчого комітету Покровської міської ради від 2</w:t>
      </w:r>
      <w:r>
        <w:rPr>
          <w:rFonts w:eastAsia="Times New Roman" w:cs="Times New Roman" w:ascii="Times New Roman" w:hAnsi="Times New Roman"/>
          <w:sz w:val="28"/>
          <w:szCs w:val="28"/>
          <w:lang w:val="ru-RU" w:eastAsia="ru-RU"/>
        </w:rPr>
        <w:t>7</w:t>
      </w:r>
      <w:r>
        <w:rPr>
          <w:rFonts w:eastAsia="Times New Roman" w:cs="Times New Roman" w:ascii="Times New Roman" w:hAnsi="Times New Roman"/>
          <w:sz w:val="28"/>
          <w:szCs w:val="28"/>
          <w:lang w:eastAsia="ru-RU"/>
        </w:rPr>
        <w:t>.0</w:t>
      </w:r>
      <w:r>
        <w:rPr>
          <w:rFonts w:eastAsia="Times New Roman" w:cs="Times New Roman" w:ascii="Times New Roman" w:hAnsi="Times New Roman"/>
          <w:sz w:val="28"/>
          <w:szCs w:val="28"/>
          <w:lang w:val="ru-RU" w:eastAsia="ru-RU"/>
        </w:rPr>
        <w:t>4</w:t>
      </w:r>
      <w:r>
        <w:rPr>
          <w:rFonts w:eastAsia="Times New Roman" w:cs="Times New Roman" w:ascii="Times New Roman" w:hAnsi="Times New Roman"/>
          <w:sz w:val="28"/>
          <w:szCs w:val="28"/>
          <w:lang w:eastAsia="ru-RU"/>
        </w:rPr>
        <w:t>.2016р. №</w:t>
      </w:r>
      <w:r>
        <w:rPr>
          <w:rFonts w:eastAsia="Times New Roman" w:cs="Times New Roman" w:ascii="Times New Roman" w:hAnsi="Times New Roman"/>
          <w:sz w:val="28"/>
          <w:szCs w:val="28"/>
          <w:lang w:val="ru-RU" w:eastAsia="ru-RU"/>
        </w:rPr>
        <w:t>199    «</w:t>
      </w:r>
      <w:r>
        <w:rPr>
          <w:rFonts w:eastAsia="Times New Roman" w:cs="Times New Roman" w:ascii="Times New Roman" w:hAnsi="Times New Roman"/>
          <w:sz w:val="28"/>
          <w:szCs w:val="28"/>
          <w:lang w:eastAsia="uk-UA"/>
        </w:rPr>
        <w:t>Про затвердження Положення</w:t>
      </w:r>
      <w:r>
        <w:rPr>
          <w:rFonts w:eastAsia="Times New Roman" w:cs="Times New Roman" w:ascii="Times New Roman" w:hAnsi="Times New Roman"/>
          <w:sz w:val="28"/>
          <w:szCs w:val="28"/>
          <w:lang w:val="ru-RU" w:eastAsia="uk-UA"/>
        </w:rPr>
        <w:t xml:space="preserve"> та</w:t>
      </w:r>
      <w:r>
        <w:rPr>
          <w:rFonts w:eastAsia="Times New Roman" w:cs="Times New Roman" w:ascii="Times New Roman" w:hAnsi="Times New Roman"/>
          <w:sz w:val="28"/>
          <w:szCs w:val="28"/>
          <w:lang w:eastAsia="uk-UA"/>
        </w:rPr>
        <w:t xml:space="preserve"> Регламенту координаційної ради з питань протидії туберкульозу та ВІЛ-інфекції/СНІДу</w:t>
      </w:r>
      <w:r>
        <w:rPr>
          <w:rFonts w:eastAsia="Times New Roman" w:cs="Times New Roman" w:ascii="Times New Roman" w:hAnsi="Times New Roman"/>
          <w:sz w:val="28"/>
          <w:szCs w:val="28"/>
          <w:lang w:val="ru-RU" w:eastAsia="uk-UA"/>
        </w:rPr>
        <w:t>;</w:t>
      </w:r>
    </w:p>
    <w:p>
      <w:pPr>
        <w:pStyle w:val="Normal"/>
        <w:spacing w:lineRule="auto" w:line="240" w:before="0" w:after="0"/>
        <w:jc w:val="both"/>
        <w:rPr>
          <w:rFonts w:ascii="Times New Roman" w:hAnsi="Times New Roman" w:eastAsia="Times New Roman" w:cs="Times New Roman"/>
          <w:sz w:val="28"/>
          <w:szCs w:val="28"/>
          <w:lang w:eastAsia="ru-RU"/>
        </w:rPr>
      </w:pPr>
      <w:r>
        <w:rPr>
          <w:rFonts w:cs="Times New Roman" w:ascii="Times New Roman" w:hAnsi="Times New Roman"/>
          <w:sz w:val="28"/>
          <w:szCs w:val="28"/>
        </w:rPr>
        <w:t xml:space="preserve">- </w:t>
      </w:r>
      <w:r>
        <w:rPr>
          <w:rFonts w:eastAsia="Times New Roman" w:cs="Times New Roman" w:ascii="Times New Roman" w:hAnsi="Times New Roman"/>
          <w:sz w:val="28"/>
          <w:szCs w:val="28"/>
          <w:lang w:eastAsia="ru-RU"/>
        </w:rPr>
        <w:t xml:space="preserve">рішення виконавчого комітету Покровської міської ради від 25.05.2016р. №266 «Про затвердження нового складу координаційної ради з питань протидії туберкульозу та ВІЛ-інфекції/СНІДу» </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5. Координацію роботи за виконанням цього рішення здійснювати Лісничій В.В., головний лікар КЗ «Центр первинної медико-санітарної допомоги м. Покров» та Мороз І.І., директор ПЦСССДМ. Контроль за виконанням цього рішення покласти на заступника міського голови Бондаренко Н.О.</w:t>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Міський голова                                                            О.М.Шаповал</w:t>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val="ru-RU" w:eastAsia="uk-UA"/>
        </w:rPr>
      </w:pPr>
      <w:r>
        <w:rPr>
          <w:rFonts w:eastAsia="Times New Roman" w:cs="Times New Roman" w:ascii="Times New Roman" w:hAnsi="Times New Roman"/>
          <w:sz w:val="28"/>
          <w:szCs w:val="28"/>
          <w:lang w:val="ru-RU"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t>вик. Мороз І.І..</w:t>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t xml:space="preserve"> </w:t>
      </w:r>
      <w:r>
        <w:rPr>
          <w:rFonts w:eastAsia="Times New Roman" w:cs="Times New Roman" w:ascii="Times New Roman" w:hAnsi="Times New Roman"/>
          <w:lang w:eastAsia="uk-UA"/>
        </w:rPr>
        <w:t>4-17-33</w:t>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bookmarkStart w:id="0" w:name="_GoBack"/>
      <w:bookmarkStart w:id="1" w:name="_GoBack"/>
      <w:bookmarkEnd w:id="1"/>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rPr>
          <w:rFonts w:ascii="Times New Roman" w:hAnsi="Times New Roman" w:eastAsia="Times New Roman" w:cs="Times New Roman"/>
          <w:lang w:eastAsia="uk-UA"/>
        </w:rPr>
      </w:pPr>
      <w:r>
        <w:rPr>
          <w:rFonts w:eastAsia="Times New Roman" w:cs="Times New Roman" w:ascii="Times New Roman" w:hAnsi="Times New Roman"/>
          <w:lang w:eastAsia="uk-UA"/>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Додаток 1</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рішення виконкому міської ради № 345 від 23.08.201</w:t>
      </w:r>
      <w:r>
        <w:rPr>
          <w:rFonts w:cs="Times New Roman" w:ascii="Times New Roman" w:hAnsi="Times New Roman"/>
          <w:sz w:val="28"/>
          <w:szCs w:val="28"/>
          <w:lang w:val="ru-RU"/>
        </w:rPr>
        <w:t>7</w:t>
      </w:r>
      <w:r>
        <w:rPr>
          <w:rFonts w:cs="Times New Roman" w:ascii="Times New Roman" w:hAnsi="Times New Roman"/>
          <w:sz w:val="28"/>
          <w:szCs w:val="28"/>
        </w:rPr>
        <w:t xml:space="preserve">р.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Положення</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про координаційну раду з питань</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протидії туберкульозу та ВІЛ -інфекції / СНІДу.</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 Загальні положення</w:t>
      </w:r>
    </w:p>
    <w:p>
      <w:pPr>
        <w:pStyle w:val="Normal"/>
        <w:jc w:val="both"/>
        <w:rPr>
          <w:rFonts w:ascii="Times New Roman" w:hAnsi="Times New Roman" w:cs="Times New Roman"/>
          <w:sz w:val="28"/>
          <w:szCs w:val="28"/>
        </w:rPr>
      </w:pPr>
      <w:r>
        <w:rPr>
          <w:rFonts w:cs="Times New Roman" w:ascii="Times New Roman" w:hAnsi="Times New Roman"/>
          <w:sz w:val="28"/>
          <w:szCs w:val="28"/>
        </w:rPr>
        <w:t>1.1 Координаційна рада з питань протидії туберкульозу та ВІЛ – інфекції /СНІДу (далі – координаційна рада) є постійно діючим консультативно – дорадчим органом виконавчого комітету міської ради,  що здійснює координацію діяльності місцевих органів виконавчої влади, підприємств, установ,  громадських організацій, в тому числі тих, що об'єднують людей, які живуть з ВІЛ-інфекцією/СНІДом, та людей, які живуть з туберкульозом, та представників бізнесових кіл, об'єднань профспілок, роботодавців та релігійних організацій (далі - зацікавлені сторони), що діють на території міста Покров, з метою надання пропозицій щодо ефективної реалізації державної політики, консолідованого використання коштів та удосконалення системи моніторингу й оцінки у сфері протидії туберкульозу та ВІЛ-інфекції/СНІДу.</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1.2 У своїй діяльності координаційна рада керується Конституцією та законами України, актами Верховної Ради України, Президента України, Кабінету Міністрів України, рішеннями Національної ради з питань протидії туберкульозу та ВІЛ – інфекції /СНІДу, обласної координаційної ради з питань протидії туберкульозу та ВІЛ – інфекції /СНІДу, Покровської міської ради, розпорядженням міського голови Покровської міської ради, а також цим Положенням.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 Завдання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2.1 Координація та сприяння узгодження діяльності зацікавлених сторін щодо протидії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2.2 Розроблення та внесення на розгляд міської ради та її виконавчого комітету пропозицій стосовно визначення пріоритетів та  забезпечення державної політики щодо профілактики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2.3 Сприяє раціональному та ефективному використанню коштів, передбачених державним та місцевим бюджетами, коштів зацікавлених сторін, призначених для фінансування міської програми з профілактики туберкульозу та ВІЛ-інфекції/СНІДу, лікування, догляду і підтримки хворих на туберкульоз, ВІЛ-інфікованих та людей, хворих на СНІД. </w:t>
      </w:r>
    </w:p>
    <w:p>
      <w:pPr>
        <w:pStyle w:val="Normal"/>
        <w:jc w:val="both"/>
        <w:rPr>
          <w:rFonts w:ascii="Times New Roman" w:hAnsi="Times New Roman" w:cs="Times New Roman"/>
          <w:sz w:val="28"/>
          <w:szCs w:val="28"/>
        </w:rPr>
      </w:pPr>
      <w:r>
        <w:rPr>
          <w:rFonts w:cs="Times New Roman" w:ascii="Times New Roman" w:hAnsi="Times New Roman"/>
          <w:sz w:val="28"/>
          <w:szCs w:val="28"/>
        </w:rPr>
        <w:t>2.4   Рада відповідно до покладених на неї завдань:</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1) проводить аналіз стану справ і причин виникнення проблем поширення епідемій туберкульозу і ВІЛ-інфекції/СНІДу та ефективності впровадження заходів з протидії туберкульозу та ВІЛ-інфекції/СНІДу в місті Покров; аналізує в межах компетенції дотримання місцевими органами виконавчої влади, підприємствами, установами, організаціями незалежно від форм власності вимог нормативно-правових актів з питань протидії туберкульозу та ВІЛ-інфекції/СНІДу;</w:t>
      </w:r>
    </w:p>
    <w:p>
      <w:pPr>
        <w:pStyle w:val="ListParagraph"/>
        <w:spacing w:lineRule="auto" w:line="240" w:before="0" w:after="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sz w:val="28"/>
          <w:szCs w:val="28"/>
        </w:rPr>
      </w:pPr>
      <w:r>
        <w:rPr>
          <w:rFonts w:cs="Times New Roman" w:ascii="Times New Roman" w:hAnsi="Times New Roman"/>
          <w:sz w:val="28"/>
          <w:szCs w:val="28"/>
        </w:rPr>
        <w:t>2) вивчає результати діяльності зацікавлених осіб з питань протидії туберкульозу та ВІЛ-інфекції/СНІДу;</w:t>
      </w:r>
    </w:p>
    <w:p>
      <w:pPr>
        <w:pStyle w:val="Normal"/>
        <w:jc w:val="both"/>
        <w:rPr>
          <w:rFonts w:ascii="Times New Roman" w:hAnsi="Times New Roman" w:cs="Times New Roman"/>
          <w:sz w:val="28"/>
          <w:szCs w:val="28"/>
        </w:rPr>
      </w:pPr>
      <w:r>
        <w:rPr>
          <w:rFonts w:cs="Times New Roman" w:ascii="Times New Roman" w:hAnsi="Times New Roman"/>
          <w:sz w:val="28"/>
          <w:szCs w:val="28"/>
        </w:rPr>
        <w:t>3) проводить моніторинг стану виконання зацікавленими особами покладених на них завдань;</w:t>
      </w:r>
    </w:p>
    <w:p>
      <w:pPr>
        <w:pStyle w:val="Normal"/>
        <w:rPr>
          <w:rFonts w:ascii="Times New Roman" w:hAnsi="Times New Roman" w:cs="Times New Roman"/>
          <w:sz w:val="28"/>
          <w:szCs w:val="28"/>
        </w:rPr>
      </w:pPr>
      <w:r>
        <w:rPr>
          <w:rFonts w:cs="Times New Roman" w:ascii="Times New Roman" w:hAnsi="Times New Roman"/>
          <w:sz w:val="28"/>
          <w:szCs w:val="28"/>
        </w:rPr>
        <w:t>4) бере участь у розробленні (опрацюванні) в установленому порядку проектів нормативно-правових актів з питань, що належать до її компетенції;</w:t>
      </w:r>
    </w:p>
    <w:p>
      <w:pPr>
        <w:pStyle w:val="Normal"/>
        <w:rPr>
          <w:rFonts w:ascii="Times New Roman" w:hAnsi="Times New Roman" w:cs="Times New Roman"/>
          <w:sz w:val="28"/>
          <w:szCs w:val="28"/>
        </w:rPr>
      </w:pPr>
      <w:r>
        <w:rPr>
          <w:rFonts w:cs="Times New Roman" w:ascii="Times New Roman" w:hAnsi="Times New Roman"/>
          <w:sz w:val="28"/>
          <w:szCs w:val="28"/>
        </w:rPr>
        <w:t xml:space="preserve">5) подає керівництву виконавчого органу Покровської  міської ради  розроблені за результатам своєї роботи пропозиції та рекомендації, з метою оперативного реагування на зміну епідемічної ситуації.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2.5.  Інформує обласну  раду  з питань протидії туберкульозу та ВІЛ – інфекції /СНІДу та громадськість про стан реалізації заходів з протидії туберкульозу та ВІЛ – інфекції/СНІДу в м. Покров.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 Координаційна рада має право</w:t>
      </w:r>
    </w:p>
    <w:p>
      <w:pPr>
        <w:pStyle w:val="Normal"/>
        <w:rPr>
          <w:rFonts w:ascii="Times New Roman" w:hAnsi="Times New Roman" w:cs="Times New Roman"/>
          <w:sz w:val="28"/>
          <w:szCs w:val="28"/>
        </w:rPr>
      </w:pPr>
      <w:r>
        <w:rPr>
          <w:rFonts w:cs="Times New Roman" w:ascii="Times New Roman" w:hAnsi="Times New Roman"/>
          <w:sz w:val="28"/>
          <w:szCs w:val="28"/>
        </w:rPr>
        <w:t xml:space="preserve">3.1  Одержувати від зацікавлених сторін  в установленому законодавством порядку інформацію, документи та інші матеріали, необхідні для виконання покладених на неї обов’язків  та  запланованих завдань.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3.2 Заслуховувати звіти зацікавлених сторін стосовно реалізації ними програм та заходів  щодо протидії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3.3 Утворювати, в разі потреби, робочі групи для виконання конкретних завдань за напрямками діяльності.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3.4 Скликати наради, конференції, семінари за участю зацікавлених сторін.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3.5 Для отримання додаткової інформації чи пояснень щодо зміни епідемічної ситуації з питань ВІЛ-інфекції/СНІДу, запрошувати для участі в засіданні координаційної ради інших осіб підприємств, установ і організацій (за погодженням з керівниками), а також інших осіб (за згодою) для розгляду питань, що належать до її компетенції</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3.6 Сприяти залученню інвестицій, коштів благодійних фондів для реалізації  програм  протидії  туберкульозу  та  ВІЛ– інфекції/СНІДу.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 Координаційна рада зобов’язана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4.1Забезпечувати регулярний аналіз причин поширення епідемії туберкульозу та ВІЛ – інфекції/СНІДу; ефективності заходів з протидії туберкульозу та ВІЛ – інфекції/СНІДу.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4.2 Інформувати обласну раду з питань протидії туберкульозу та ВІЛ – інфекції/СНІДу про свою діяльність.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4.3 Широко інформувати громадськість про свою діяльність, оприлюднювати інформацію на офіційному веб-сайті та в засобах масової інформації.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 Організація роботи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5.1 Координаційну раду очолює заступник міського голови за напрямком діяльності.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5.2 Чисельний та персональний склад координаційної ради затверджується рішенням виконавчого комітету Покровської міської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5.3 Організаційною формою роботи координаційної ради є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5.4 Засідання проводяться відповідно до плану роботи, але не рідше, ніж один раз на квартал. Позачергові засідання проводяться у разі потреби.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5.5 Засідання координаційної ради є правомочним, якщо на ньому присутні не менше як дві треті її членів.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5.6 Рішення,  пропозиції та рекомендації координаційної ради приймаються шляхом прямого голосування та можуть реалізовуватися шляхом видання в установленому порядку рішення  виконавчого органу Покровської міської ради.</w:t>
      </w:r>
    </w:p>
    <w:p>
      <w:pPr>
        <w:pStyle w:val="Normal"/>
        <w:rPr>
          <w:rFonts w:ascii="Times New Roman" w:hAnsi="Times New Roman" w:cs="Times New Roman"/>
          <w:sz w:val="28"/>
          <w:szCs w:val="28"/>
        </w:rPr>
      </w:pPr>
      <w:r>
        <w:rPr>
          <w:rFonts w:cs="Times New Roman" w:ascii="Times New Roman" w:hAnsi="Times New Roman"/>
          <w:sz w:val="28"/>
          <w:szCs w:val="28"/>
        </w:rPr>
        <w:t>5.7Рішення координаційної ради  вважається прийнятим, якщо за нього проголосували не менше  половини присутніх на засіданні членів координаційної ради. При  рівному розподілу голосів  визначальним  є вибір головуючого  на засіданні.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Додаток 2</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до рішення виконкому міської ради № 345 від 23.08.2017р.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Регламент</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координаційної ради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з питань протидії туберкульозу та ВІЛ – інфекції /СНІДу.</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1. Загальні положення</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1.1 Цей регламент встановлює порядок організації діяльності координаційної ради з питань протидії туберкульозу та ВІЛ – інфекції/СНІДу (далі – координаційна рада).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1.2 У своїй діяльності координаційна рада керується Конституцією та законами України, актами Верховної Ради України, Президента України, Кабінету міністрів України, рішеннями Національної ради з питань протидії туберкульозу та ВІЛ – інфекції /СНІДу,   Положенням   про  координаційну  раду  з  питань протидії туберкульозу та ВІЛ -інфекції / СНІДу, а також  цим  регламентом.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1.3 Координаційну раду очолює голова, який має заступника. Членами Ради можуть бути представники виконавчого комітету міської ради, громадських організацій, в т.ч. тих, що об’єднують людей, які живуть з ВІЛ – інфекцією та людей, яких торкнувся туберкульоз, представники бізнесових кіл, об’єднань, профспілок та роботодавців, релігійних організацій, спеціалісти у сфері протидії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2. Формування складу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2.1.Голова, персональний склад координаційної ради, положення та регламент затверджуються рішенням виконавчого комітету міської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2.2. Міські громадські організації відкрито обирають представника, який бажає прийняти на себе обов’язки щодо координації спільних заходів у сфері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протидії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2.3. Якщо член координаційної ради без поважних причин не бере особистої участі у двох поспіль її засіданнях, або не виконує її доручень, члени координаційної рада мають право порушити питання про його виключення зі складу координаційної ради. У разі виключення, голова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інформує про це рішення організацію, яку представляє виключений представник.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3. Функції членів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3.1 Голова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здійснює координацію роботи та веде її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підписує протоколи та рішення;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забезпечує контроль за складанням і виконанням планів роботи;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інформує членів координаційної ради про результати прийнятих розпоряджень міського голови рішень міської ради та її виконавчого комітету;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визначає заходи, спрямовані на забезпечення взаємодії координаційної ради з обласною радою з питань протидії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забезпечує підготовку річних звітів.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3.2 Секретар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складає проекти планів роботи і звітів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готує інформаційно – аналітичні матеріали з питань туберкульозу та ВІЛ – інфекції /СНІДу;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організовує за дорученням голови, засідання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інформує членів координаційної ради про чергове засідання не пізніше ніж за 7 днів до його проведення;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готує проект порядку денного, проект протокольного рішення, інформаційно – аналітичні матеріали та списки запрошених шляхом збору та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узагальнення пропозицій від членів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інформує членів координаційної ради про стан виконання прийнятих рішень;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надає інформацію про діяльність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підписує протокол</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3.3 Члени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беруть участь в засіданнях координаційної ради, доповідають, обговорюють питання і голосують за прийняття рішень;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вносять пропозиції до порядку денного, ініціюють розгляд питань;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забезпечують у межах своєї компетенції підготовку інформаційно – аналітичних матеріалів на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беруть участь у розробці проектів документів засідань;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беруть участь у розробці та виконанні планів роботи та рішень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інформують про прийняття координаційною радою рішення організації, які вони представляють;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інформують координаційну раду про рішення прийняті організаціями, які вони представляють;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беруть участь у підготовці річних звітів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інформують громадськість про діяльність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4. Планування роботи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4.1 Засідання проводяться відповідно до плану роботи, але не рідше, ніж один раз на квартал. Позачергові засідання проводяться у разі потреби.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4.2 Планування роботи координаційної ради здійснюється відповідно до покладених на неї завдань та з урахуванням пропозиції її членів.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4.3 Збір та узагальнення пропозицій щодо планування роботи координаційної ради, підготовка проекту плану її роботи та внесення його на розгляд, здійснюється її секретарем.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4.4 Інформація про стан виконання річного плану роботи координаційної ради готується секретарем, підписується головою та секретарем. </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5. Порядок роботи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5.1 Особи, присутні на засіданні, які не входять до її складу та не є запрошеними, мають статус спостерігачів і не мають права голосу при прийнятті рішень.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5.2 Спостерігачі можуть отримати дозвіл на виступ лише за рішенням головуючого на засіданні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5.3 Члени координаційної ради, які у виняткових випадках не можуть особисто взяти участь у засіданні, повинні завчасно повідомити голову або секретаря про делегування свого голосу уповноваженій особі та забезпечити її участь у відповідному засіданні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Уповноважена особа виконує обов’язки члена координаційної ради відповідно до цього регламенту.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5.4 Перед засіданням секретар здійснює реєстрацію членів координаційної ради та запрошених.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5.5 Обговорення питань під час засідань відбувається за регламентом, визначеним у порядку денному. </w:t>
      </w:r>
    </w:p>
    <w:p>
      <w:pPr>
        <w:pStyle w:val="Normal"/>
        <w:spacing w:before="0" w:after="0"/>
        <w:rPr>
          <w:rFonts w:ascii="Times New Roman" w:hAnsi="Times New Roman" w:cs="Times New Roman"/>
          <w:sz w:val="28"/>
          <w:szCs w:val="28"/>
        </w:rPr>
      </w:pPr>
      <w:r>
        <w:rPr>
          <w:rFonts w:cs="Times New Roman" w:ascii="Times New Roman" w:hAnsi="Times New Roman"/>
          <w:sz w:val="28"/>
          <w:szCs w:val="28"/>
        </w:rPr>
        <w:t>5.6 Рішення координаційної ради приймається двома третинами голосів, присутніх на засіданні. Пропозиції та рекомендації вважаються схваленими, якщо за них проголосували більш як половина присутніх на засіданні членів координаційної ради, якщо інше не передбачено положенням про координаційну раду. В разі рівного розподілу голосів вирішальним є голос головуючого на засіданні.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5.7 Рішення оформлюється протоколом, який підписує голова координаційної ради та секретар.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5.8  У разі відсутності голови координаційної ради його функції покладаються на заступника голови координаційної ради.</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6. Оформлення протоколів</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6.1 За результатами засідання оформлюється протокол.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У протоколі засідання координаційної ради зазначаються: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номер протоколу, дата, час і місце проведення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прізвище головуючого на засіданні, список членів, присутніх на засіданні, та уповноважених осіб у разі відсутності членів із зазначенням причини їх відсутності,  список  осіб, запрошених на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порядок денний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розглянуті питання порядку денного, список членів координаційної ради, а також запрошених осіб, які виступили під час їх обговорення;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назви документів, розглянутих на засіданні або розповсюджених серед членів координаційної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результати голосування з питань порядку денного;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прийняття рішення, рекомендації, висновки;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особливі думки членів координаційної ради,  які під  час голосування  голосували  проти.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До протоколу додаються інформаційні матеріали, що використовувались для обґрунтування прийнятих рішень, тези виступів доповідачів та копії презентацій, якщо вони здійснювались.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Протокол засідання готується секретарем координаційної ради на підставі протокольних рішень та за результатами обговорення під час засідання.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Протокол підписується протягом п’яти робочих днів після засідання головуючим на засіданні та секретарем і надсилається разом із затвердженими на засіданні документами членам координаційної ради.</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7. Інформування громадськості</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7.1 Координаційна рада всебічно інформує громадськість про свою діяльність, прийняті рішення  та стан  їх  виконання,  зокрема,  через  оприлюднення  інформації: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на інформаційному сайті Покровської міської ради.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шляхом цільової розсилки;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у газеті «Козацька вежа»;</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 в офіційних та інших засобах масової інформації.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 xml:space="preserve">7.2 На засідання координаційної ради можуть бути запрошені представники засобів масової інформації для висвітлення її діяльності та отримання іншої інформації, пов’язаної з реалізацією програм та заходів щодо протидії туберкульозу та ВІЛ – інфекції/СНІДу. </w:t>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jc w:val="right"/>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Додаток 3</w:t>
      </w:r>
    </w:p>
    <w:p>
      <w:pPr>
        <w:pStyle w:val="Normal"/>
        <w:spacing w:lineRule="auto" w:line="240" w:before="0" w:after="0"/>
        <w:jc w:val="right"/>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рішення виконкому міської ради № 345 від 23.08.201</w:t>
      </w:r>
      <w:r>
        <w:rPr>
          <w:rFonts w:cs="Times New Roman" w:ascii="Times New Roman" w:hAnsi="Times New Roman"/>
          <w:sz w:val="28"/>
          <w:szCs w:val="28"/>
          <w:lang w:val="ru-RU"/>
        </w:rPr>
        <w:t>7</w:t>
      </w:r>
      <w:r>
        <w:rPr>
          <w:rFonts w:cs="Times New Roman" w:ascii="Times New Roman" w:hAnsi="Times New Roman"/>
          <w:sz w:val="28"/>
          <w:szCs w:val="28"/>
        </w:rPr>
        <w:t xml:space="preserve">р. </w:t>
      </w:r>
    </w:p>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Склад</w:t>
      </w:r>
    </w:p>
    <w:p>
      <w:pPr>
        <w:pStyle w:val="Normal"/>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t>координаційної ради з питань</w:t>
      </w:r>
    </w:p>
    <w:p>
      <w:pPr>
        <w:pStyle w:val="Normal"/>
        <w:spacing w:lineRule="auto" w:line="240" w:before="0" w:after="0"/>
        <w:ind w:firstLine="708"/>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протидії туберкульозу та ВІЛ – інфекції/ СНІДу</w:t>
      </w:r>
    </w:p>
    <w:p>
      <w:pPr>
        <w:pStyle w:val="Normal"/>
        <w:spacing w:lineRule="auto" w:line="240" w:before="0" w:after="0"/>
        <w:ind w:firstLine="708"/>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bl>
      <w:tblPr>
        <w:tblW w:w="9807" w:type="dxa"/>
        <w:jc w:val="left"/>
        <w:tblInd w:w="0" w:type="dxa"/>
        <w:tblLayout w:type="fixed"/>
        <w:tblCellMar>
          <w:top w:w="0" w:type="dxa"/>
          <w:left w:w="108" w:type="dxa"/>
          <w:bottom w:w="0" w:type="dxa"/>
          <w:right w:w="108" w:type="dxa"/>
        </w:tblCellMar>
        <w:tblLook w:val="01e0"/>
      </w:tblPr>
      <w:tblGrid>
        <w:gridCol w:w="4855"/>
        <w:gridCol w:w="4951"/>
      </w:tblGrid>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Бондаренко Наталія Олександрівна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заступник міського голови,                                                                         голова координаційної ради</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Ліснича Валентина Вікторівна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головний лікар КЗ «Центр первинної медико-санітарної допомоги м.Покров», заступник голови</w:t>
            </w:r>
          </w:p>
          <w:p>
            <w:pPr>
              <w:pStyle w:val="Normal"/>
              <w:widowControl w:val="false"/>
              <w:tabs>
                <w:tab w:val="clear" w:pos="708"/>
                <w:tab w:val="left" w:pos="3366" w:leader="none"/>
              </w:tabs>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 </w:t>
            </w:r>
            <w:r>
              <w:rPr>
                <w:rFonts w:eastAsia="Times New Roman" w:cs="Times New Roman" w:ascii="Times New Roman" w:hAnsi="Times New Roman"/>
                <w:sz w:val="28"/>
                <w:szCs w:val="28"/>
                <w:lang w:eastAsia="uk-UA"/>
              </w:rPr>
              <w:t>координаційної ради</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Мороз Ірина Іванівна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директор центру соціальних служб                                                                          для сім’ї, дітей та молоді, секретар ради</w:t>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Члени ради:</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Бобровний Сергій Миколайович</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-лікар-нарколог КЗ «ЦМЛ м. Покров ДОР»</w:t>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Сахарчук Марія Миколаївна</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ind w:left="55"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інспектор сектору превенціїПокровського відділення НВП ГУНП</w:t>
            </w:r>
          </w:p>
          <w:p>
            <w:pPr>
              <w:pStyle w:val="Normal"/>
              <w:widowControl w:val="false"/>
              <w:spacing w:lineRule="auto" w:line="240" w:before="0" w:after="0"/>
              <w:ind w:left="55"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Дяченко Наталія Василівна</w:t>
            </w:r>
          </w:p>
        </w:tc>
        <w:tc>
          <w:tcPr>
            <w:tcW w:w="4951" w:type="dxa"/>
            <w:tcBorders/>
            <w:shd w:color="auto" w:fill="auto" w:val="clear"/>
          </w:tcPr>
          <w:p>
            <w:pPr>
              <w:pStyle w:val="ListParagraph"/>
              <w:widowControl w:val="false"/>
              <w:spacing w:lineRule="auto" w:line="240" w:before="0" w:after="0"/>
              <w:ind w:left="-87" w:hanging="0"/>
              <w:contextualSpacing/>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  </w:t>
            </w:r>
            <w:r>
              <w:rPr>
                <w:rFonts w:eastAsia="Times New Roman" w:cs="Times New Roman" w:ascii="Times New Roman" w:hAnsi="Times New Roman"/>
                <w:sz w:val="28"/>
                <w:szCs w:val="28"/>
                <w:lang w:eastAsia="uk-UA"/>
              </w:rPr>
              <w:t>- директор ДПТНЗ «Покровський центр підготовки та перепідготовки робітничих кадрів»</w:t>
            </w:r>
          </w:p>
          <w:p>
            <w:pPr>
              <w:pStyle w:val="ListParagraph"/>
              <w:widowControl w:val="false"/>
              <w:spacing w:lineRule="auto" w:line="240" w:before="0" w:after="0"/>
              <w:ind w:left="-87" w:hanging="0"/>
              <w:contextualSpacing/>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ind w:left="55"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Дубіна Наталія Юзефівна</w:t>
            </w:r>
          </w:p>
        </w:tc>
        <w:tc>
          <w:tcPr>
            <w:tcW w:w="4951" w:type="dxa"/>
            <w:tcBorders/>
            <w:shd w:color="auto" w:fill="auto" w:val="clear"/>
          </w:tcPr>
          <w:p>
            <w:pPr>
              <w:pStyle w:val="ListParagraph"/>
              <w:widowControl w:val="false"/>
              <w:spacing w:lineRule="auto" w:line="240" w:before="0" w:after="0"/>
              <w:ind w:left="-87" w:hanging="0"/>
              <w:contextualSpacing/>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xml:space="preserve"> </w:t>
            </w:r>
            <w:r>
              <w:rPr>
                <w:rFonts w:eastAsia="Times New Roman" w:cs="Times New Roman" w:ascii="Times New Roman" w:hAnsi="Times New Roman"/>
                <w:sz w:val="28"/>
                <w:szCs w:val="28"/>
                <w:lang w:eastAsia="uk-UA"/>
              </w:rPr>
              <w:t>-начальник служби у справах дітей виконавчого комітету Покровської міської ради</w:t>
            </w:r>
          </w:p>
          <w:p>
            <w:pPr>
              <w:pStyle w:val="ListParagraph"/>
              <w:widowControl w:val="false"/>
              <w:spacing w:lineRule="auto" w:line="240" w:before="0" w:after="0"/>
              <w:ind w:left="-87" w:hanging="0"/>
              <w:contextualSpacing/>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Ігнатюк  Тетяна Марківна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начальник управління праці та                                                                         соціального захисту населення виконавчого комітету Покровської міської ради</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Кравченко Оксана Іванівна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голова комісії з припинення Покровського міського центру зайнятості</w:t>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Рубаха Галина Петрівна</w:t>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начальник управління освіти виконавчого комітету Покровської міської ради</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Сєра Карина Петрівна</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-завідуюча консультативно діагностичним відділенням КЗ «ЦМЛ м. Покров ДОР»</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Яременко Тетяна Григорівна</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Волков Андрій Михайлович</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Балабанов Дмитро Вікторович</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c>
          <w:tcPr>
            <w:tcW w:w="4951"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лікар - фтизіатр КЗ «ЦМЛ м. Покров ДОР»</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голова правління благодійної організації «Вікторія» м. Покров</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-Пастор української християнської  церкви «Нове покоління» м. Покров</w:t>
            </w:r>
          </w:p>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r>
        <w:trPr/>
        <w:tc>
          <w:tcPr>
            <w:tcW w:w="4855" w:type="dxa"/>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Димченко Олександр Леонідович</w:t>
            </w:r>
          </w:p>
        </w:tc>
        <w:tc>
          <w:tcPr>
            <w:tcW w:w="4951" w:type="dxa"/>
            <w:tcBorders/>
            <w:shd w:color="auto" w:fill="auto" w:val="clear"/>
          </w:tcPr>
          <w:p>
            <w:pPr>
              <w:pStyle w:val="Normal"/>
              <w:widowControl w:val="false"/>
              <w:spacing w:lineRule="auto" w:line="240" w:before="0" w:after="0"/>
              <w:ind w:left="55"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t>- голова громадської організації «Древо життя» м. Покров</w:t>
            </w:r>
          </w:p>
          <w:p>
            <w:pPr>
              <w:pStyle w:val="Normal"/>
              <w:widowControl w:val="false"/>
              <w:spacing w:lineRule="auto" w:line="240" w:before="0" w:after="0"/>
              <w:ind w:left="55" w:hanging="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tc>
      </w:tr>
    </w:tbl>
    <w:p>
      <w:pPr>
        <w:pStyle w:val="Normal"/>
        <w:spacing w:lineRule="auto" w:line="240" w:before="0" w:after="0"/>
        <w:ind w:firstLine="708"/>
        <w:jc w:val="center"/>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eastAsia="uk-UA"/>
        </w:rPr>
      </w:pPr>
      <w:r>
        <w:rPr>
          <w:rFonts w:eastAsia="Times New Roman" w:cs="Times New Roman" w:ascii="Times New Roman" w:hAnsi="Times New Roman"/>
          <w:sz w:val="28"/>
          <w:szCs w:val="28"/>
          <w:lang w:eastAsia="uk-UA"/>
        </w:rPr>
      </w:r>
    </w:p>
    <w:p>
      <w:pPr>
        <w:pStyle w:val="Normal"/>
        <w:spacing w:lineRule="auto" w:line="240" w:before="0" w:after="0"/>
        <w:rPr>
          <w:rFonts w:ascii="Times New Roman" w:hAnsi="Times New Roman" w:eastAsia="Times New Roman" w:cs="Times New Roman"/>
          <w:sz w:val="28"/>
          <w:szCs w:val="28"/>
          <w:lang w:val="ru-RU" w:eastAsia="uk-UA"/>
        </w:rPr>
      </w:pPr>
      <w:r>
        <w:rPr>
          <w:rFonts w:eastAsia="Times New Roman" w:cs="Times New Roman" w:ascii="Times New Roman" w:hAnsi="Times New Roman"/>
          <w:sz w:val="28"/>
          <w:szCs w:val="28"/>
          <w:lang w:val="ru-RU" w:eastAsia="uk-UA"/>
        </w:rPr>
      </w:r>
    </w:p>
    <w:p>
      <w:pPr>
        <w:pStyle w:val="Normal"/>
        <w:spacing w:lineRule="auto" w:line="240" w:before="0" w:after="0"/>
        <w:rPr/>
      </w:pPr>
      <w:r>
        <w:rPr/>
      </w:r>
    </w:p>
    <w:p>
      <w:pPr>
        <w:pStyle w:val="Normal"/>
        <w:spacing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План</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роботи координаційної ради з питань протидії туберкульозу </w:t>
      </w:r>
    </w:p>
    <w:p>
      <w:pPr>
        <w:pStyle w:val="Normal"/>
        <w:spacing w:lineRule="auto" w:line="24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та ВІЛ-інфекцій/СНІДу на ІІ півріччя 2017 рік</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889" w:type="dxa"/>
        <w:jc w:val="left"/>
        <w:tblInd w:w="0" w:type="dxa"/>
        <w:tblLayout w:type="fixed"/>
        <w:tblCellMar>
          <w:top w:w="0" w:type="dxa"/>
          <w:left w:w="108" w:type="dxa"/>
          <w:bottom w:w="0" w:type="dxa"/>
          <w:right w:w="108" w:type="dxa"/>
        </w:tblCellMar>
        <w:tblLook w:val="01e0"/>
      </w:tblPr>
      <w:tblGrid>
        <w:gridCol w:w="566"/>
        <w:gridCol w:w="3651"/>
        <w:gridCol w:w="1986"/>
        <w:gridCol w:w="2127"/>
        <w:gridCol w:w="1559"/>
      </w:tblGrid>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з/п</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Питання, що виносяться на розгляд</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Термін розгляду</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Доповідачі</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left="34" w:hanging="34"/>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Примітки</w:t>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1</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Звіт про виконання міської Програми «Протидії розповсюдження інфекційних соціально – небезпечних хвороб на 2015-2020р.р.»</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грудень</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Головний лікар КЗ «ЦПМСДП»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Ліснича В.В.</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Головний лікар КЗ «ЦМЛ ДОР»</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Шкіль А.П.</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2</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Щоквартальний звіт про виконання плану профілактичних оглядів на туберкульоз</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грудень</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Головний лікар КЗ «ЦПМСДП»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Ліснича В.В.</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Головний лікар КЗ «ЦМЛП ДОР»</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Шкіль А.П.</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3.</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Інформація про профілактику та раннє виявлення туберкульозу серед дітей та підлітків</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Завідуюча амбулаторією ЗПСМ№5</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Дудкіна І.О.</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4.</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Інформація про оздоровлення та лікування дітей в санаторних групах комунальних дошкільних навчальних закладів №11, 22</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грудень 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Начальник УО</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Рубаха Г.П.,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Завідуюча амбулаторією ЗПСМ№5</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Дудкіна І.О.</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5.</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Інформація про  проведення первинної профілактики ВІЛ-інфекції/СНІДу, наркоманії та алкоголізму серед дітей та молоді, створення можливостей для добровільного консультування та тестування на ВІЛ</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грудень 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Начальник УО</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Рубаха Г.П.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Директор ДПТНЗ «ПЦППРК» Дяченко Н.В.</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6.</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Аналіз виконання скринінгових обстежень на ВІЛ-інфекцію, ефективність лікування хворих на ВІЛ/СНІД, своєчасність призначення ВААРТ, в т.ч. хворим на Ко-інфекцію</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Лікар кабінету «Довіра» КЗ «ЦМЛ м.Покров ДОР»</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 «Древо життя»</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Димченко О.Л.</w:t>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7.</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Інформація про забезпечення соціальної підтримки хворим на туберкульоз, що отримують амбулаторне контрольне лікування</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грудень 2017р.</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Лікар-фтизіатр КЗ</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«ЦМЛ м.Покров ДОР»</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Яременко Т.Г.</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r>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8.</w:t>
            </w:r>
          </w:p>
        </w:tc>
        <w:tc>
          <w:tcPr>
            <w:tcW w:w="36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Інформація про стан підготовки медичних закладів міста до спалаху холери та інших небезпечних хвороб</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вересень 2017р.</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(за необхідністю)</w:t>
            </w:r>
          </w:p>
        </w:tc>
        <w:tc>
          <w:tcPr>
            <w:tcW w:w="21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Головний лікар КЗ «ЦПМСДП»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Ліснича В.В.</w:t>
            </w:r>
          </w:p>
          <w:p>
            <w:pPr>
              <w:pStyle w:val="Normal"/>
              <w:widowControl w:val="false"/>
              <w:spacing w:before="0" w:after="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Головн</w:t>
            </w:r>
            <w:r>
              <w:rPr>
                <w:rFonts w:eastAsia="Times New Roman" w:cs="Times New Roman" w:ascii="Times New Roman" w:hAnsi="Times New Roman"/>
                <w:sz w:val="28"/>
                <w:szCs w:val="28"/>
              </w:rPr>
              <w:t>ий</w:t>
            </w:r>
            <w:r>
              <w:rPr>
                <w:rFonts w:eastAsia="Times New Roman" w:cs="Times New Roman" w:ascii="Times New Roman" w:hAnsi="Times New Roman"/>
                <w:sz w:val="28"/>
                <w:szCs w:val="28"/>
                <w:lang w:val="ru-RU"/>
              </w:rPr>
              <w:t>лікарКЗ «ЦМЛ</w:t>
            </w:r>
            <w:r>
              <w:rPr>
                <w:rFonts w:eastAsia="Times New Roman" w:cs="Times New Roman" w:ascii="Times New Roman" w:hAnsi="Times New Roman"/>
                <w:sz w:val="28"/>
                <w:szCs w:val="28"/>
              </w:rPr>
              <w:t>П ДОР</w:t>
            </w:r>
            <w:r>
              <w:rPr>
                <w:rFonts w:eastAsia="Times New Roman" w:cs="Times New Roman" w:ascii="Times New Roman" w:hAnsi="Times New Roman"/>
                <w:sz w:val="28"/>
                <w:szCs w:val="28"/>
                <w:lang w:val="ru-RU"/>
              </w:rPr>
              <w:t>»</w:t>
            </w:r>
          </w:p>
          <w:p>
            <w:pPr>
              <w:pStyle w:val="Normal"/>
              <w:widowControl w:val="false"/>
              <w:spacing w:before="0" w:after="0"/>
              <w:rPr>
                <w:rFonts w:ascii="Times New Roman" w:hAnsi="Times New Roman" w:eastAsia="Times New Roman" w:cs="Times New Roman"/>
                <w:sz w:val="28"/>
                <w:szCs w:val="28"/>
                <w:lang w:val="ru-RU"/>
              </w:rPr>
            </w:pPr>
            <w:r>
              <w:rPr>
                <w:rFonts w:eastAsia="Times New Roman" w:cs="Times New Roman" w:ascii="Times New Roman" w:hAnsi="Times New Roman"/>
                <w:sz w:val="28"/>
                <w:szCs w:val="28"/>
                <w:lang w:val="ru-RU"/>
              </w:rPr>
              <w:t>Шкіл</w:t>
            </w:r>
            <w:r>
              <w:rPr>
                <w:rFonts w:eastAsia="Times New Roman" w:cs="Times New Roman" w:ascii="Times New Roman" w:hAnsi="Times New Roman"/>
                <w:sz w:val="28"/>
                <w:szCs w:val="28"/>
              </w:rPr>
              <w:t>ь</w:t>
            </w:r>
            <w:r>
              <w:rPr>
                <w:rFonts w:eastAsia="Times New Roman" w:cs="Times New Roman" w:ascii="Times New Roman" w:hAnsi="Times New Roman"/>
                <w:sz w:val="28"/>
                <w:szCs w:val="28"/>
                <w:lang w:val="ru-RU"/>
              </w:rPr>
              <w:t xml:space="preserve"> А.П.</w:t>
            </w:r>
          </w:p>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c>
          <w:tcPr>
            <w:tcW w:w="15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tc>
      </w:tr>
    </w:tbl>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Секретар ради                                                        І.І. Мороз</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jc w:val="center"/>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bidi w:val="0"/>
        <w:spacing w:lineRule="auto" w:line="276" w:before="0" w:after="200"/>
        <w:jc w:val="left"/>
        <w:rPr/>
      </w:pPr>
      <w:r>
        <w:rPr/>
      </w:r>
    </w:p>
    <w:sectPr>
      <w:type w:val="nextPage"/>
      <w:pgSz w:w="11906" w:h="16838"/>
      <w:pgMar w:left="1701" w:right="850" w:header="0" w:top="56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334a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4"/>
    <w:uiPriority w:val="99"/>
    <w:semiHidden/>
    <w:qFormat/>
    <w:rsid w:val="00a0047f"/>
    <w:rPr>
      <w:rFonts w:ascii="Tahoma" w:hAnsi="Tahoma" w:cs="Tahoma"/>
      <w:sz w:val="16"/>
      <w:szCs w:val="16"/>
      <w:lang w:val="uk-UA"/>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ListParagraph">
    <w:name w:val="List Paragraph"/>
    <w:basedOn w:val="Normal"/>
    <w:uiPriority w:val="34"/>
    <w:qFormat/>
    <w:rsid w:val="00c334ae"/>
    <w:pPr>
      <w:spacing w:before="0" w:after="200"/>
      <w:ind w:left="720" w:hanging="0"/>
      <w:contextualSpacing/>
    </w:pPr>
    <w:rPr/>
  </w:style>
  <w:style w:type="paragraph" w:styleId="BalloonText">
    <w:name w:val="Balloon Text"/>
    <w:basedOn w:val="Normal"/>
    <w:link w:val="a5"/>
    <w:uiPriority w:val="99"/>
    <w:semiHidden/>
    <w:unhideWhenUsed/>
    <w:qFormat/>
    <w:rsid w:val="00a0047f"/>
    <w:pPr>
      <w:spacing w:lineRule="auto" w:line="240" w:before="0" w:after="0"/>
    </w:pPr>
    <w:rPr>
      <w:rFonts w:ascii="Tahoma" w:hAnsi="Tahoma" w:cs="Tahoma"/>
      <w:sz w:val="16"/>
      <w:szCs w:val="16"/>
    </w:rPr>
  </w:style>
  <w:style w:type="paragraph" w:styleId="Style21">
    <w:name w:val="Вміст рамки"/>
    <w:basedOn w:val="Normal"/>
    <w:qFormat/>
    <w:pPr/>
    <w:rPr/>
  </w:style>
  <w:style w:type="paragraph" w:styleId="Style22">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zakon1.rada.gov.ua/laws/show/481/2010"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LibreOffice/7.0.3.1$Linux_X86_64 LibreOffice_project/00$Build-1</Application>
  <Pages>13</Pages>
  <Words>2555</Words>
  <Characters>17149</Characters>
  <CharactersWithSpaces>20527</CharactersWithSpaces>
  <Paragraphs>245</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2017-08-21T10:21:00Z</dcterms:created>
  <dc:creator>Алена</dc:creator>
  <dc:description/>
  <dc:language>ru-RU</dc:language>
  <cp:lastModifiedBy/>
  <cp:lastPrinted>2017-08-21T13:36:00Z</cp:lastPrinted>
  <dcterms:modified xsi:type="dcterms:W3CDTF">2021-08-13T13:41:43Z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