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23285C">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784806">
        <w:rPr>
          <w:b/>
          <w:lang w:val="uk-UA"/>
        </w:rPr>
        <w:t>70</w:t>
      </w:r>
      <w:r w:rsidRPr="004D64AF">
        <w:rPr>
          <w:b/>
          <w:lang w:val="uk-UA"/>
        </w:rPr>
        <w:t>.1</w:t>
      </w:r>
    </w:p>
    <w:p w:rsidR="000552D2" w:rsidRPr="004D64AF" w:rsidRDefault="000552D2">
      <w:pPr>
        <w:rPr>
          <w:b/>
          <w:lang w:val="uk-UA"/>
        </w:rPr>
      </w:pPr>
    </w:p>
    <w:p w:rsidR="00784806" w:rsidRDefault="006D2366">
      <w:pPr>
        <w:jc w:val="center"/>
        <w:rPr>
          <w:b/>
          <w:caps/>
          <w:lang w:val="uk-UA"/>
        </w:rPr>
      </w:pPr>
      <w:r w:rsidRPr="006D2366">
        <w:rPr>
          <w:b/>
          <w:caps/>
          <w:lang w:val="uk-UA"/>
        </w:rPr>
        <w:t>Встановлення статусу</w:t>
      </w:r>
      <w:r w:rsidR="00784806">
        <w:rPr>
          <w:b/>
          <w:caps/>
          <w:lang w:val="uk-UA"/>
        </w:rPr>
        <w:t xml:space="preserve"> </w:t>
      </w:r>
      <w:r w:rsidR="00446C2B" w:rsidRPr="00446C2B">
        <w:rPr>
          <w:b/>
          <w:caps/>
          <w:lang w:val="uk-UA"/>
        </w:rPr>
        <w:t>члена сім’ї загиблої (померлої) особи,</w:t>
      </w:r>
      <w:r w:rsidR="00784806" w:rsidRPr="00784806">
        <w:rPr>
          <w:b/>
          <w:caps/>
          <w:lang w:val="uk-UA"/>
        </w:rPr>
        <w:t xml:space="preserve"> </w:t>
      </w:r>
    </w:p>
    <w:p w:rsidR="00784806" w:rsidRDefault="00784806">
      <w:pPr>
        <w:jc w:val="center"/>
        <w:rPr>
          <w:b/>
          <w:caps/>
          <w:lang w:val="uk-UA"/>
        </w:rPr>
      </w:pPr>
      <w:r w:rsidRPr="00784806">
        <w:rPr>
          <w:b/>
          <w:caps/>
          <w:lang w:val="uk-UA"/>
        </w:rPr>
        <w:t>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(пропали безвісти), померла внаслідок поранення, контузії, каліцтва або захворювання</w:t>
      </w:r>
      <w:r w:rsidR="00446C2B" w:rsidRPr="00446C2B">
        <w:rPr>
          <w:b/>
          <w:caps/>
          <w:lang w:val="uk-UA"/>
        </w:rPr>
        <w:t xml:space="preserve"> </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6D2366">
        <w:rPr>
          <w:bCs/>
          <w:u w:val="single"/>
          <w:lang w:val="uk-UA"/>
        </w:rPr>
        <w:t>17</w:t>
      </w:r>
      <w:r w:rsidR="00784806">
        <w:rPr>
          <w:bCs/>
          <w:u w:val="single"/>
          <w:lang w:val="uk-UA"/>
        </w:rPr>
        <w:t>69</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23285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Центр надання адміністративних послуг виконавчого комітету Покровської </w:t>
            </w:r>
            <w:r>
              <w:rPr>
                <w:sz w:val="24"/>
              </w:rPr>
              <w:lastRenderedPageBreak/>
              <w:t>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lastRenderedPageBreak/>
              <w:t xml:space="preserve">53300, Дніпропетровська область, Нікопольський </w:t>
            </w:r>
            <w:r>
              <w:rPr>
                <w:sz w:val="24"/>
              </w:rPr>
              <w:lastRenderedPageBreak/>
              <w:t xml:space="preserve">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p w:rsidR="006D2366" w:rsidRPr="004D64AF" w:rsidRDefault="006D2366" w:rsidP="00E75426">
            <w:pPr>
              <w:jc w:val="both"/>
              <w:rPr>
                <w:lang w:val="uk-UA"/>
              </w:rPr>
            </w:pPr>
          </w:p>
        </w:tc>
      </w:tr>
      <w:tr w:rsidR="000552D2" w:rsidRPr="0023285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2366" w:rsidRPr="00A12732" w:rsidRDefault="004D64AF" w:rsidP="006F7623">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AC79AD">
              <w:rPr>
                <w:color w:val="000000"/>
                <w:lang w:val="uk-UA"/>
              </w:rPr>
              <w:t>п</w:t>
            </w:r>
            <w:r w:rsidR="009E451E" w:rsidRPr="009E451E">
              <w:rPr>
                <w:color w:val="000000"/>
                <w:lang w:val="uk-UA"/>
              </w:rPr>
              <w:t>останова Кабінету Міністрів України від</w:t>
            </w:r>
            <w:r w:rsidR="006D2366">
              <w:rPr>
                <w:color w:val="000000"/>
                <w:lang w:val="uk-UA"/>
              </w:rPr>
              <w:t xml:space="preserve"> </w:t>
            </w:r>
            <w:r w:rsidR="006D2366" w:rsidRPr="006D2366">
              <w:rPr>
                <w:color w:val="000000"/>
                <w:lang w:val="uk-UA"/>
              </w:rPr>
              <w:t>23.09.2015 №</w:t>
            </w:r>
            <w:r w:rsidR="006D2366">
              <w:rPr>
                <w:color w:val="000000"/>
              </w:rPr>
              <w:t> </w:t>
            </w:r>
            <w:r w:rsidR="006D2366" w:rsidRPr="006D2366">
              <w:rPr>
                <w:color w:val="000000"/>
                <w:lang w:val="uk-UA"/>
              </w:rPr>
              <w:t xml:space="preserve">740 </w:t>
            </w:r>
            <w:r w:rsidR="006D2366">
              <w:rPr>
                <w:color w:val="000000"/>
                <w:lang w:val="uk-UA"/>
              </w:rPr>
              <w:t>«</w:t>
            </w:r>
            <w:r w:rsidR="006D2366" w:rsidRPr="006D2366">
              <w:rPr>
                <w:color w:val="000000"/>
                <w:lang w:val="uk-UA"/>
              </w:rPr>
              <w:t xml:space="preserve">Про затвердження Порядку надання статусу особи, на яку поширюється чинність Закону України </w:t>
            </w:r>
            <w:r w:rsidR="006D2366">
              <w:rPr>
                <w:color w:val="000000"/>
                <w:lang w:val="uk-UA"/>
              </w:rPr>
              <w:t>«</w:t>
            </w:r>
            <w:r w:rsidR="006D2366" w:rsidRPr="006D2366">
              <w:rPr>
                <w:color w:val="000000"/>
                <w:lang w:val="uk-UA"/>
              </w:rPr>
              <w:t>Про статус ветеранів війни, гарантії їх соціального захисту</w:t>
            </w:r>
            <w:r w:rsidR="006D2366">
              <w:rPr>
                <w:color w:val="000000"/>
                <w:lang w:val="uk-UA"/>
              </w:rPr>
              <w:t>»</w:t>
            </w:r>
            <w:r w:rsidR="006D2366" w:rsidRPr="006D2366">
              <w:rPr>
                <w:color w:val="000000"/>
                <w:lang w:val="uk-UA"/>
              </w:rPr>
              <w:t>, деяким категоріям осіб</w:t>
            </w:r>
            <w:r w:rsidR="006D2366">
              <w:rPr>
                <w:color w:val="000000"/>
                <w:lang w:val="uk-UA"/>
              </w:rPr>
              <w:t>»</w:t>
            </w:r>
            <w:r w:rsidR="009E451E" w:rsidRPr="009E451E">
              <w:rPr>
                <w:color w:val="000000"/>
                <w:lang w:val="uk-UA"/>
              </w:rPr>
              <w:t xml:space="preserve"> </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0260C2" w:rsidP="000260C2">
            <w:pPr>
              <w:ind w:firstLine="284"/>
              <w:jc w:val="both"/>
              <w:rPr>
                <w:lang w:val="uk-UA"/>
              </w:rPr>
            </w:pPr>
            <w:r w:rsidRPr="000260C2">
              <w:rPr>
                <w:color w:val="000000"/>
                <w:lang w:val="uk-UA"/>
              </w:rPr>
              <w:t xml:space="preserve">Загибель (смерть) осіб, які добровільно забезпечували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провадили волонтерську діяльність) та загинули або померли внаслідок поранення, контузії, каліцтва або захворювання   визначених статтею 10 Закону України </w:t>
            </w:r>
            <w:r>
              <w:rPr>
                <w:color w:val="000000"/>
                <w:lang w:val="uk-UA"/>
              </w:rPr>
              <w:t>«</w:t>
            </w:r>
            <w:r w:rsidRPr="000260C2">
              <w:rPr>
                <w:color w:val="000000"/>
                <w:lang w:val="uk-UA"/>
              </w:rPr>
              <w:t>Про статус ветеранів війни, гарантії їх соціального захисту</w:t>
            </w:r>
            <w:r w:rsidR="00E671A9">
              <w:rPr>
                <w:color w:val="000000"/>
                <w:lang w:val="uk-UA"/>
              </w:rPr>
              <w:t>»</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382AF7" w:rsidRDefault="00382AF7" w:rsidP="00382AF7">
            <w:pPr>
              <w:pStyle w:val="af3"/>
              <w:keepNext/>
              <w:ind w:left="1" w:firstLine="282"/>
              <w:rPr>
                <w:lang w:val="uk-UA"/>
              </w:rPr>
            </w:pPr>
            <w:r w:rsidRPr="00382AF7">
              <w:rPr>
                <w:lang w:val="uk-UA"/>
              </w:rPr>
              <w:t xml:space="preserve">Заява про </w:t>
            </w:r>
            <w:r w:rsidR="003B3D3C">
              <w:rPr>
                <w:lang w:val="uk-UA"/>
              </w:rPr>
              <w:t xml:space="preserve">надання статусу  та </w:t>
            </w:r>
            <w:r w:rsidRPr="00382AF7">
              <w:rPr>
                <w:lang w:val="uk-UA"/>
              </w:rPr>
              <w:t>видачу посвідчення/довідки</w:t>
            </w:r>
            <w:r w:rsidR="00483B8A">
              <w:rPr>
                <w:lang w:val="uk-UA"/>
              </w:rPr>
              <w:t>/продовження дії строку посвідчення</w:t>
            </w:r>
            <w:r w:rsidR="008A50EB">
              <w:rPr>
                <w:lang w:val="uk-UA"/>
              </w:rPr>
              <w:t xml:space="preserve"> (</w:t>
            </w:r>
            <w:r w:rsidRPr="00382AF7">
              <w:rPr>
                <w:lang w:val="uk-UA"/>
              </w:rPr>
              <w:t>довільної форми);</w:t>
            </w:r>
          </w:p>
          <w:p w:rsidR="0083765C" w:rsidRDefault="00B75ECD" w:rsidP="000260C2">
            <w:pPr>
              <w:pStyle w:val="af3"/>
              <w:keepNext/>
              <w:ind w:left="1" w:firstLine="282"/>
              <w:jc w:val="both"/>
              <w:rPr>
                <w:lang w:val="uk-UA"/>
              </w:rPr>
            </w:pPr>
            <w:r>
              <w:rPr>
                <w:lang w:val="uk-UA"/>
              </w:rPr>
              <w:lastRenderedPageBreak/>
              <w:t xml:space="preserve">копія сторінок </w:t>
            </w:r>
            <w:r w:rsidR="00382AF7" w:rsidRPr="00382AF7">
              <w:rPr>
                <w:lang w:val="uk-UA"/>
              </w:rPr>
              <w:t>паспорт</w:t>
            </w:r>
            <w:r>
              <w:rPr>
                <w:lang w:val="uk-UA"/>
              </w:rPr>
              <w:t>а</w:t>
            </w:r>
            <w:r w:rsidR="00382AF7" w:rsidRPr="00382AF7">
              <w:rPr>
                <w:lang w:val="uk-UA"/>
              </w:rPr>
              <w:t xml:space="preserve">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0083765C">
              <w:rPr>
                <w:lang w:val="uk-UA"/>
              </w:rPr>
              <w:t xml:space="preserve">; </w:t>
            </w:r>
          </w:p>
          <w:p w:rsidR="003B3D3C" w:rsidRDefault="00382AF7" w:rsidP="000260C2">
            <w:pPr>
              <w:pStyle w:val="af3"/>
              <w:keepNext/>
              <w:ind w:left="1" w:firstLine="282"/>
              <w:jc w:val="both"/>
              <w:rPr>
                <w:lang w:val="uk-UA"/>
              </w:rPr>
            </w:pPr>
            <w:r w:rsidRPr="00382AF7">
              <w:rPr>
                <w:lang w:val="uk-UA"/>
              </w:rPr>
              <w:t xml:space="preserve"> </w:t>
            </w:r>
            <w:r w:rsidR="0083765C" w:rsidRPr="00C95BC3">
              <w:rPr>
                <w:lang w:val="uk-UA"/>
              </w:rPr>
              <w:t xml:space="preserve"> копія довідки про присвоєння реєстраційного номера облікової картки платника податків або серія та номер паспорта з відміткою про відмову</w:t>
            </w:r>
            <w:r w:rsidR="0083765C">
              <w:rPr>
                <w:lang w:val="uk-UA"/>
              </w:rPr>
              <w:t xml:space="preserve"> </w:t>
            </w:r>
            <w:r w:rsidR="0083765C" w:rsidRPr="00C95BC3">
              <w:rPr>
                <w:lang w:val="uk-UA"/>
              </w:rPr>
              <w:t xml:space="preserve"> від прийняття такого номера</w:t>
            </w:r>
            <w:r w:rsidR="008A50EB">
              <w:rPr>
                <w:lang w:val="uk-UA"/>
              </w:rPr>
              <w:t>;</w:t>
            </w:r>
          </w:p>
          <w:p w:rsidR="004D4DF2" w:rsidRDefault="008A50EB" w:rsidP="004D4DF2">
            <w:pPr>
              <w:tabs>
                <w:tab w:val="left" w:pos="1780"/>
              </w:tabs>
              <w:jc w:val="both"/>
              <w:rPr>
                <w:color w:val="000000"/>
                <w:lang w:val="uk-UA"/>
              </w:rPr>
            </w:pPr>
            <w:r>
              <w:rPr>
                <w:color w:val="000000"/>
                <w:lang w:val="uk-UA"/>
              </w:rPr>
              <w:t xml:space="preserve">      </w:t>
            </w:r>
            <w:r w:rsidRPr="008A50EB">
              <w:rPr>
                <w:color w:val="000000"/>
                <w:lang w:val="uk-UA"/>
              </w:rPr>
              <w:t>копія свідоцтва</w:t>
            </w:r>
            <w:r>
              <w:rPr>
                <w:color w:val="000000"/>
              </w:rPr>
              <w:t xml:space="preserve"> про смерть</w:t>
            </w:r>
            <w:r w:rsidR="003460ED">
              <w:rPr>
                <w:color w:val="000000"/>
                <w:lang w:val="uk-UA"/>
              </w:rPr>
              <w:t xml:space="preserve"> або повідомлення про загибель особи</w:t>
            </w:r>
            <w:r>
              <w:rPr>
                <w:color w:val="000000"/>
              </w:rPr>
              <w:t>;</w:t>
            </w:r>
            <w:r w:rsidR="00323D3F">
              <w:rPr>
                <w:color w:val="000000"/>
                <w:lang w:val="uk-UA"/>
              </w:rPr>
              <w:t xml:space="preserve"> </w:t>
            </w:r>
          </w:p>
          <w:p w:rsidR="004D4DF2" w:rsidRDefault="004D4DF2" w:rsidP="004D4DF2">
            <w:pPr>
              <w:tabs>
                <w:tab w:val="left" w:pos="1780"/>
              </w:tabs>
              <w:jc w:val="both"/>
              <w:rPr>
                <w:rStyle w:val="spanrvts0"/>
                <w:bCs/>
                <w:lang w:val="uk" w:eastAsia="uk"/>
              </w:rPr>
            </w:pPr>
            <w:r>
              <w:rPr>
                <w:color w:val="000000"/>
                <w:lang w:val="uk-UA"/>
              </w:rPr>
              <w:t xml:space="preserve">      копія</w:t>
            </w:r>
            <w:r w:rsidRPr="004D4DF2">
              <w:rPr>
                <w:rStyle w:val="spanrvts0"/>
                <w:bCs/>
                <w:lang w:val="uk" w:eastAsia="uk"/>
              </w:rPr>
              <w:t xml:space="preserve"> договору про провадження волонтерської діяльності (за наявності) або копія договору про надання волонтерської допомоги (за наявності);</w:t>
            </w:r>
          </w:p>
          <w:p w:rsidR="004D4DF2" w:rsidRDefault="004D4DF2" w:rsidP="004D4DF2">
            <w:pPr>
              <w:tabs>
                <w:tab w:val="left" w:pos="1780"/>
              </w:tabs>
              <w:jc w:val="both"/>
              <w:rPr>
                <w:rStyle w:val="spanrvts0"/>
                <w:bCs/>
                <w:lang w:val="uk" w:eastAsia="uk"/>
              </w:rPr>
            </w:pPr>
            <w:r>
              <w:rPr>
                <w:rStyle w:val="spanrvts0"/>
                <w:bCs/>
                <w:lang w:val="uk" w:eastAsia="uk"/>
              </w:rPr>
              <w:t xml:space="preserve">      </w:t>
            </w:r>
            <w:r w:rsidRPr="004D4DF2">
              <w:rPr>
                <w:rStyle w:val="spanrvts0"/>
                <w:bCs/>
                <w:lang w:val="uk" w:eastAsia="uk"/>
              </w:rPr>
              <w:t>свідчення командира (начальника) військової частини (органу, підрозділу), керівника добровольчого формування, які захищали незалежність, суверенітет і територіальну цілісність України та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 про безпосередню участь особи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завірені печаткою військової частини;</w:t>
            </w:r>
            <w:r>
              <w:rPr>
                <w:rStyle w:val="spanrvts0"/>
                <w:bCs/>
                <w:lang w:val="uk" w:eastAsia="uk"/>
              </w:rPr>
              <w:t xml:space="preserve"> </w:t>
            </w:r>
          </w:p>
          <w:p w:rsidR="004D4DF2" w:rsidRDefault="004D4DF2" w:rsidP="004D4DF2">
            <w:pPr>
              <w:tabs>
                <w:tab w:val="left" w:pos="1780"/>
              </w:tabs>
              <w:jc w:val="both"/>
              <w:rPr>
                <w:rStyle w:val="spanrvts0"/>
                <w:bCs/>
                <w:lang w:val="uk" w:eastAsia="uk"/>
              </w:rPr>
            </w:pPr>
            <w:r>
              <w:rPr>
                <w:rStyle w:val="spanrvts0"/>
                <w:bCs/>
                <w:lang w:val="uk" w:eastAsia="uk"/>
              </w:rPr>
              <w:t xml:space="preserve">      </w:t>
            </w:r>
            <w:r w:rsidRPr="004D4DF2">
              <w:rPr>
                <w:rStyle w:val="spanrvts0"/>
                <w:bCs/>
                <w:lang w:val="uk" w:eastAsia="uk"/>
              </w:rPr>
              <w:t xml:space="preserve">довідка (витяг з наказу) керівника Антитерористичного центру при СБУ, Генерального штабу Збройних Сил про добровільне забезпечення або добровільне залучення до забезпечення проведення антитерористичної операції, здійснення заходів із забезпечення національної безпеки і оборони, </w:t>
            </w:r>
            <w:r w:rsidRPr="004D4DF2">
              <w:rPr>
                <w:rStyle w:val="spanrvts0"/>
                <w:bCs/>
                <w:lang w:val="uk" w:eastAsia="uk"/>
              </w:rPr>
              <w:lastRenderedPageBreak/>
              <w:t>відсічі і стримування збройної агресії Російської Федерації у Донецькій та Луганській областях особи, яка загинула (пропала безвісти) або померла;</w:t>
            </w:r>
          </w:p>
          <w:p w:rsidR="00C3319C" w:rsidRPr="00C3319C" w:rsidRDefault="00323D3F" w:rsidP="00C3319C">
            <w:pPr>
              <w:jc w:val="both"/>
              <w:rPr>
                <w:rStyle w:val="spanrvts0"/>
                <w:lang w:val="uk" w:eastAsia="uk"/>
              </w:rPr>
            </w:pPr>
            <w:r>
              <w:rPr>
                <w:lang w:val="uk-UA"/>
              </w:rPr>
              <w:t xml:space="preserve">      </w:t>
            </w:r>
            <w:r w:rsidRPr="00323D3F">
              <w:rPr>
                <w:lang w:val="uk-UA"/>
              </w:rPr>
              <w:t>висновок судово-медичної експертизи;</w:t>
            </w:r>
            <w:r w:rsidR="00C3319C">
              <w:rPr>
                <w:lang w:val="uk-UA"/>
              </w:rPr>
              <w:t xml:space="preserve">     </w:t>
            </w:r>
            <w:r w:rsidR="00C3319C">
              <w:rPr>
                <w:rStyle w:val="spanrvts0"/>
                <w:bCs/>
                <w:lang w:val="uk" w:eastAsia="uk"/>
              </w:rPr>
              <w:t xml:space="preserve">                            </w:t>
            </w:r>
            <w:r w:rsidR="00C3319C" w:rsidRPr="00C3319C">
              <w:rPr>
                <w:rStyle w:val="spanrvts0"/>
                <w:bCs/>
                <w:lang w:val="uk" w:eastAsia="uk"/>
              </w:rPr>
              <w:t>рішення суду про встановлення факту добровільного забезпечення або добровільного залучення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особи, яка загинула (пропала безвісти) або померла, - за відсутності зазначених документів (крім свідоцтва про смерть (копії) або повідомлення про загибель особи та висновку судово-медичної експертизи);</w:t>
            </w:r>
          </w:p>
          <w:p w:rsidR="00323D3F" w:rsidRPr="00323D3F" w:rsidRDefault="00323D3F" w:rsidP="00C3319C">
            <w:pPr>
              <w:tabs>
                <w:tab w:val="left" w:pos="1780"/>
              </w:tabs>
              <w:jc w:val="both"/>
              <w:rPr>
                <w:lang w:val="uk-UA"/>
              </w:rPr>
            </w:pPr>
            <w:r>
              <w:rPr>
                <w:lang w:val="uk-UA"/>
              </w:rPr>
              <w:t xml:space="preserve"> </w:t>
            </w:r>
            <w:r>
              <w:rPr>
                <w:color w:val="000000"/>
                <w:lang w:val="uk-UA"/>
              </w:rPr>
              <w:t xml:space="preserve">     </w:t>
            </w:r>
            <w:r w:rsidRPr="00323D3F">
              <w:rPr>
                <w:color w:val="000000"/>
                <w:lang w:val="uk-UA"/>
              </w:rPr>
              <w:t>свідоцтво про одруження;</w:t>
            </w:r>
          </w:p>
          <w:p w:rsidR="00323D3F" w:rsidRPr="00323D3F" w:rsidRDefault="00323D3F" w:rsidP="00C3319C">
            <w:pPr>
              <w:tabs>
                <w:tab w:val="left" w:pos="1780"/>
              </w:tabs>
              <w:jc w:val="both"/>
              <w:rPr>
                <w:color w:val="000000"/>
                <w:lang w:val="uk-UA"/>
              </w:rPr>
            </w:pPr>
            <w:r>
              <w:rPr>
                <w:color w:val="000000"/>
                <w:lang w:val="uk-UA"/>
              </w:rPr>
              <w:t xml:space="preserve">      </w:t>
            </w:r>
            <w:r w:rsidRPr="00323D3F">
              <w:rPr>
                <w:color w:val="000000"/>
                <w:lang w:val="uk-UA"/>
              </w:rPr>
              <w:t>свідоцтво про народження дитини;</w:t>
            </w:r>
          </w:p>
          <w:p w:rsidR="00323D3F" w:rsidRPr="00323D3F" w:rsidRDefault="00323D3F" w:rsidP="00C3319C">
            <w:pPr>
              <w:tabs>
                <w:tab w:val="left" w:pos="1780"/>
              </w:tabs>
              <w:jc w:val="both"/>
              <w:rPr>
                <w:lang w:val="uk-UA"/>
              </w:rPr>
            </w:pPr>
            <w:r>
              <w:rPr>
                <w:color w:val="000000"/>
                <w:lang w:val="uk-UA"/>
              </w:rPr>
              <w:t xml:space="preserve">      </w:t>
            </w:r>
            <w:r w:rsidRPr="00323D3F">
              <w:rPr>
                <w:color w:val="000000"/>
                <w:lang w:val="uk-UA"/>
              </w:rPr>
              <w:t>довідка медичного закладу про інвалідність до досягнення повноліття;</w:t>
            </w:r>
          </w:p>
          <w:p w:rsidR="00323D3F" w:rsidRPr="00323D3F" w:rsidRDefault="00323D3F" w:rsidP="00C3319C">
            <w:pPr>
              <w:tabs>
                <w:tab w:val="left" w:pos="1780"/>
              </w:tabs>
              <w:jc w:val="both"/>
              <w:rPr>
                <w:color w:val="000000"/>
                <w:lang w:val="uk-UA"/>
              </w:rPr>
            </w:pPr>
            <w:r>
              <w:rPr>
                <w:color w:val="000000"/>
                <w:lang w:val="uk-UA"/>
              </w:rPr>
              <w:t xml:space="preserve">      </w:t>
            </w:r>
            <w:r w:rsidRPr="00323D3F">
              <w:rPr>
                <w:color w:val="000000"/>
                <w:lang w:val="uk-UA"/>
              </w:rPr>
              <w:t>довідка з навчального закладу (для дітей, які навчаються за денною формою навчання у ВНЗ);</w:t>
            </w:r>
          </w:p>
          <w:p w:rsidR="00323D3F" w:rsidRPr="00323D3F" w:rsidRDefault="00323D3F" w:rsidP="00C3319C">
            <w:pPr>
              <w:tabs>
                <w:tab w:val="left" w:pos="1780"/>
              </w:tabs>
              <w:jc w:val="both"/>
              <w:rPr>
                <w:color w:val="000000"/>
                <w:lang w:val="uk-UA"/>
              </w:rPr>
            </w:pPr>
            <w:r>
              <w:rPr>
                <w:color w:val="000000"/>
                <w:lang w:val="uk-UA"/>
              </w:rPr>
              <w:t xml:space="preserve">      </w:t>
            </w:r>
            <w:r w:rsidRPr="00323D3F">
              <w:rPr>
                <w:color w:val="000000"/>
                <w:lang w:val="uk-UA"/>
              </w:rPr>
              <w:t>свідоцтво про народження померлого (для батьків);</w:t>
            </w:r>
          </w:p>
          <w:p w:rsidR="00323D3F" w:rsidRPr="00323D3F" w:rsidRDefault="00323D3F" w:rsidP="00C3319C">
            <w:pPr>
              <w:tabs>
                <w:tab w:val="left" w:pos="1780"/>
              </w:tabs>
              <w:jc w:val="both"/>
            </w:pPr>
            <w:r>
              <w:rPr>
                <w:color w:val="000000"/>
                <w:lang w:val="uk-UA"/>
              </w:rPr>
              <w:t xml:space="preserve">      </w:t>
            </w:r>
            <w:r w:rsidRPr="00323D3F">
              <w:rPr>
                <w:color w:val="000000"/>
                <w:lang w:val="uk-UA"/>
              </w:rPr>
              <w:t>довідка з ПФУ (для пенсіонерів МО, СБУ, МВС</w:t>
            </w:r>
            <w:r>
              <w:rPr>
                <w:color w:val="000000"/>
              </w:rPr>
              <w:t>);</w:t>
            </w:r>
          </w:p>
          <w:p w:rsidR="008A50EB" w:rsidRPr="00323D3F" w:rsidRDefault="00323D3F" w:rsidP="00C3319C">
            <w:pPr>
              <w:tabs>
                <w:tab w:val="left" w:pos="1780"/>
              </w:tabs>
              <w:jc w:val="both"/>
              <w:rPr>
                <w:lang w:val="uk-UA"/>
              </w:rPr>
            </w:pPr>
            <w:r>
              <w:rPr>
                <w:lang w:val="uk-UA"/>
              </w:rPr>
              <w:t xml:space="preserve">      фотокартка 3х4.</w:t>
            </w:r>
          </w:p>
          <w:p w:rsidR="00382AF7" w:rsidRPr="00382AF7" w:rsidRDefault="00382AF7" w:rsidP="00382AF7">
            <w:pPr>
              <w:pStyle w:val="af3"/>
              <w:keepNext/>
              <w:ind w:left="0" w:firstLine="283"/>
              <w:rPr>
                <w:lang w:val="uk-UA"/>
              </w:rPr>
            </w:pP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 xml:space="preserve">-повідомлення або у інший спосіб, </w:t>
            </w:r>
            <w:r w:rsidRPr="004D64AF">
              <w:rPr>
                <w:lang w:val="uk-UA"/>
              </w:rPr>
              <w:lastRenderedPageBreak/>
              <w:t>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382AF7"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rsidR="00382AF7" w:rsidRDefault="00382AF7" w:rsidP="00382AF7">
            <w:pPr>
              <w:ind w:firstLine="284"/>
              <w:jc w:val="both"/>
              <w:rPr>
                <w:lang w:val="uk-UA"/>
              </w:rPr>
            </w:pPr>
          </w:p>
        </w:tc>
      </w:tr>
      <w:tr w:rsidR="00382AF7" w:rsidRPr="0023285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323D3F" w:rsidP="00C9590F">
            <w:pPr>
              <w:shd w:val="clear" w:color="auto" w:fill="FFFFFF"/>
              <w:jc w:val="both"/>
              <w:rPr>
                <w:lang w:val="uk-UA"/>
              </w:rPr>
            </w:pPr>
            <w:r>
              <w:rPr>
                <w:lang w:val="uk-UA"/>
              </w:rPr>
              <w:t xml:space="preserve">      </w:t>
            </w:r>
            <w:r w:rsidR="00A53A26" w:rsidRPr="00A53A26">
              <w:rPr>
                <w:lang w:val="uk-UA"/>
              </w:rPr>
              <w:t>Видача відповідного посвідчення</w:t>
            </w:r>
            <w:bookmarkStart w:id="8" w:name="bookmark=id.3znysh7" w:colFirst="0" w:colLast="0"/>
            <w:bookmarkEnd w:id="8"/>
            <w:r w:rsidR="00A53A26" w:rsidRPr="00A53A26">
              <w:rPr>
                <w:lang w:val="uk-UA"/>
              </w:rPr>
              <w:t xml:space="preserve"> (довідки, продовження строку дії посвідчення)/відмова у видачі відповідного посвідчення (довідки, продовження строку дії посвідчення)</w:t>
            </w:r>
            <w:r w:rsidR="00382AF7" w:rsidRPr="0041633E">
              <w:rPr>
                <w:color w:val="000000"/>
                <w:lang w:val="uk-UA"/>
              </w:rPr>
              <w:t xml:space="preserve">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A53A26" w:rsidP="00A53A26">
            <w:pPr>
              <w:pStyle w:val="af3"/>
              <w:numPr>
                <w:ilvl w:val="0"/>
                <w:numId w:val="1"/>
              </w:numPr>
              <w:ind w:left="-13" w:firstLine="284"/>
              <w:jc w:val="both"/>
              <w:rPr>
                <w:lang w:val="uk-UA"/>
              </w:rPr>
            </w:pPr>
            <w:r w:rsidRPr="00A53A26">
              <w:rPr>
                <w:lang w:val="uk-UA"/>
              </w:rPr>
              <w:t>Посвідчення/довідка/продовження строку дії 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382AF7" w:rsidRDefault="00A53A26" w:rsidP="00A53A26">
            <w:pPr>
              <w:ind w:firstLine="284"/>
              <w:jc w:val="both"/>
              <w:rPr>
                <w:lang w:val="uk-UA"/>
              </w:rPr>
            </w:pPr>
            <w:r w:rsidRPr="00A53A26">
              <w:rPr>
                <w:lang w:val="uk-UA"/>
              </w:rPr>
              <w:lastRenderedPageBreak/>
              <w:t xml:space="preserve">     2.  Посвідчення довідка/продовження строку дії посвідчення 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23285C"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0EE" w:rsidRDefault="00A140EE">
      <w:r>
        <w:separator/>
      </w:r>
    </w:p>
  </w:endnote>
  <w:endnote w:type="continuationSeparator" w:id="0">
    <w:p w:rsidR="00A140EE" w:rsidRDefault="00A1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0EE" w:rsidRDefault="00A140EE">
      <w:r>
        <w:separator/>
      </w:r>
    </w:p>
  </w:footnote>
  <w:footnote w:type="continuationSeparator" w:id="0">
    <w:p w:rsidR="00A140EE" w:rsidRDefault="00A14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B75ECD">
                            <w:rPr>
                              <w:rStyle w:val="a4"/>
                              <w:noProof/>
                            </w:rPr>
                            <w:t>3</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B75ECD">
                      <w:rPr>
                        <w:rStyle w:val="a4"/>
                        <w:noProof/>
                      </w:rPr>
                      <w:t>3</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60C2"/>
    <w:rsid w:val="000442B6"/>
    <w:rsid w:val="000552D2"/>
    <w:rsid w:val="000E21AA"/>
    <w:rsid w:val="000F0235"/>
    <w:rsid w:val="0023285C"/>
    <w:rsid w:val="002376B6"/>
    <w:rsid w:val="002870F5"/>
    <w:rsid w:val="00297B3C"/>
    <w:rsid w:val="003109D6"/>
    <w:rsid w:val="00323D3F"/>
    <w:rsid w:val="003460ED"/>
    <w:rsid w:val="00382AF7"/>
    <w:rsid w:val="003B3D3C"/>
    <w:rsid w:val="0041633E"/>
    <w:rsid w:val="00446C2B"/>
    <w:rsid w:val="00483B8A"/>
    <w:rsid w:val="004A1CA2"/>
    <w:rsid w:val="004D4DF2"/>
    <w:rsid w:val="004D64AF"/>
    <w:rsid w:val="005B5B0D"/>
    <w:rsid w:val="00614AF3"/>
    <w:rsid w:val="006323DF"/>
    <w:rsid w:val="006D2366"/>
    <w:rsid w:val="006F7623"/>
    <w:rsid w:val="00784806"/>
    <w:rsid w:val="00794CA1"/>
    <w:rsid w:val="007C3F16"/>
    <w:rsid w:val="007F5652"/>
    <w:rsid w:val="0083765C"/>
    <w:rsid w:val="00894FBC"/>
    <w:rsid w:val="008A50EB"/>
    <w:rsid w:val="008E088D"/>
    <w:rsid w:val="00974160"/>
    <w:rsid w:val="009E451E"/>
    <w:rsid w:val="00A12732"/>
    <w:rsid w:val="00A140EE"/>
    <w:rsid w:val="00A20827"/>
    <w:rsid w:val="00A53A26"/>
    <w:rsid w:val="00A95AAB"/>
    <w:rsid w:val="00AC79AD"/>
    <w:rsid w:val="00B4156F"/>
    <w:rsid w:val="00B75ECD"/>
    <w:rsid w:val="00C3319C"/>
    <w:rsid w:val="00C83384"/>
    <w:rsid w:val="00C91972"/>
    <w:rsid w:val="00C9590F"/>
    <w:rsid w:val="00D577FD"/>
    <w:rsid w:val="00DB2E85"/>
    <w:rsid w:val="00E65C15"/>
    <w:rsid w:val="00E671A9"/>
    <w:rsid w:val="00E75426"/>
    <w:rsid w:val="00F9045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 w:type="character" w:customStyle="1" w:styleId="spanrvts0">
    <w:name w:val="span_rvts0"/>
    <w:basedOn w:val="a0"/>
    <w:rsid w:val="004D4DF2"/>
    <w:rPr>
      <w:rFonts w:ascii="Times New Roman" w:eastAsia="Times New Roman" w:hAnsi="Times New Roman" w:cs="Times New Roman"/>
      <w:b w:val="0"/>
      <w:bCs w:val="0"/>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6</Pages>
  <Words>1889</Words>
  <Characters>10772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30</cp:revision>
  <cp:lastPrinted>2024-01-30T09:47:00Z</cp:lastPrinted>
  <dcterms:created xsi:type="dcterms:W3CDTF">2024-03-04T11:18:00Z</dcterms:created>
  <dcterms:modified xsi:type="dcterms:W3CDTF">2024-04-25T11:58:00Z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