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02-2.2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Надання дозволу на розроблення проекту землеустрою щодо відведення земельної ділянки для послідуючого продажу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 w:val="false"/>
          <w:color w:val="000000"/>
          <w:sz w:val="28"/>
          <w:szCs w:val="28"/>
          <w:u w:val="single"/>
          <w:shd w:fill="auto" w:val="clear"/>
          <w:lang w:val="uk-UA" w:eastAsia="en-US"/>
        </w:rPr>
        <w:t>00207</w:t>
      </w:r>
    </w:p>
    <w:p>
      <w:pPr>
        <w:pStyle w:val="Normal"/>
        <w:jc w:val="center"/>
        <w:rPr>
          <w:highlight w:val="none"/>
          <w:shd w:fill="FFFF00" w:val="clear"/>
        </w:rPr>
      </w:pPr>
      <w:r>
        <w:rPr>
          <w:shd w:fill="FFFF00" w:val="clear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4"/>
        <w:gridCol w:w="1462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247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075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i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46290293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LibreOffice/7.2.5.2$Windows_X86_64 LibreOffice_project/499f9727c189e6ef3471021d6132d4c694f357e5</Application>
  <AppVersion>15.0000</AppVersion>
  <Pages>3</Pages>
  <Words>526</Words>
  <Characters>3449</Characters>
  <CharactersWithSpaces>4127</CharactersWithSpaces>
  <Paragraphs>103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dcterms:modified xsi:type="dcterms:W3CDTF">2024-05-06T13:17:50Z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