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0"/>
        <w:ind w:right="450" w:hanging="0"/>
        <w:jc w:val="center"/>
        <w:rPr>
          <w:rFonts w:ascii="Times New Roman" w:hAnsi="Times New Roman" w:eastAsia="Times New Roman" w:cs="Times New Roman"/>
          <w:b/>
          <w:b/>
          <w:bCs/>
          <w:color w:val="000000"/>
          <w:sz w:val="4"/>
          <w:szCs w:val="4"/>
          <w:lang w:eastAsia="uk-UA"/>
        </w:rPr>
      </w:pPr>
      <w:r>
        <w:rPr>
          <w:rFonts w:eastAsia="Times New Roman" w:cs="Times New Roman" w:ascii="Times New Roman" w:hAnsi="Times New Roman"/>
          <w:b/>
          <w:bCs/>
          <w:color w:val="000000"/>
          <w:sz w:val="4"/>
          <w:szCs w:val="4"/>
          <w:lang w:eastAsia="uk-UA"/>
        </w:rPr>
        <w:drawing>
          <wp:anchor behindDoc="0" distT="0" distB="0" distL="114935" distR="114935" simplePos="0" locked="0" layoutInCell="0" allowOverlap="1" relativeHeight="2">
            <wp:simplePos x="0" y="0"/>
            <wp:positionH relativeFrom="column">
              <wp:posOffset>2935605</wp:posOffset>
            </wp:positionH>
            <wp:positionV relativeFrom="paragraph">
              <wp:posOffset>-422275</wp:posOffset>
            </wp:positionV>
            <wp:extent cx="417830" cy="610235"/>
            <wp:effectExtent l="0" t="0" r="0" b="0"/>
            <wp:wrapTopAndBottom/>
            <wp:docPr id="1"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2" descr=""/>
                    <pic:cNvPicPr>
                      <a:picLocks noChangeAspect="1" noChangeArrowheads="1"/>
                    </pic:cNvPicPr>
                  </pic:nvPicPr>
                  <pic:blipFill>
                    <a:blip r:embed="rId2"/>
                    <a:stretch>
                      <a:fillRect/>
                    </a:stretch>
                  </pic:blipFill>
                  <pic:spPr bwMode="auto">
                    <a:xfrm>
                      <a:off x="0" y="0"/>
                      <a:ext cx="417830" cy="610235"/>
                    </a:xfrm>
                    <a:prstGeom prst="rect">
                      <a:avLst/>
                    </a:prstGeom>
                  </pic:spPr>
                </pic:pic>
              </a:graphicData>
            </a:graphic>
          </wp:anchor>
        </w:drawing>
      </w:r>
    </w:p>
    <w:p>
      <w:pPr>
        <w:pStyle w:val="Style17"/>
        <w:spacing w:lineRule="auto" w:line="216" w:before="0" w:after="0"/>
        <w:jc w:val="center"/>
        <w:rPr>
          <w:rFonts w:ascii="Times New Roman" w:hAnsi="Times New Roman"/>
        </w:rPr>
      </w:pPr>
      <w:r>
        <w:rPr>
          <w:rFonts w:eastAsia="Times New Roman" w:cs="Times New Roman" w:ascii="Times New Roman" w:hAnsi="Times New Roman"/>
          <w:b/>
          <w:bCs/>
          <w:color w:val="000000"/>
          <w:spacing w:val="-1"/>
          <w:sz w:val="28"/>
          <w:szCs w:val="28"/>
          <w:lang w:eastAsia="uk-UA"/>
        </w:rPr>
        <w:t>ПОКРОВСЬКА МІСЬКА РАДА</w:t>
      </w:r>
    </w:p>
    <w:p>
      <w:pPr>
        <w:pStyle w:val="Style17"/>
        <w:spacing w:lineRule="auto" w:line="216" w:before="0" w:after="0"/>
        <w:jc w:val="center"/>
        <w:rPr>
          <w:rFonts w:ascii="Times New Roman" w:hAnsi="Times New Roman" w:eastAsia="Times New Roman" w:cs="Times New Roman"/>
          <w:b/>
          <w:b/>
          <w:bCs/>
          <w:color w:val="000000"/>
          <w:spacing w:val="-1"/>
          <w:sz w:val="28"/>
          <w:szCs w:val="28"/>
          <w:lang w:eastAsia="uk-UA"/>
        </w:rPr>
      </w:pPr>
      <w:r>
        <w:rPr>
          <w:rFonts w:eastAsia="Times New Roman" w:cs="Times New Roman" w:ascii="Times New Roman" w:hAnsi="Times New Roman"/>
          <w:b/>
          <w:bCs/>
          <w:color w:val="000000"/>
          <w:spacing w:val="-1"/>
          <w:sz w:val="28"/>
          <w:szCs w:val="28"/>
          <w:lang w:eastAsia="uk-UA"/>
        </w:rPr>
        <w:t>ДНІПРОПЕТРОВСЬКОЇ ОБЛАСТІ</w:t>
      </w:r>
    </w:p>
    <w:p>
      <w:pPr>
        <w:pStyle w:val="Style17"/>
        <w:spacing w:lineRule="auto" w:line="216" w:before="0" w:after="0"/>
        <w:jc w:val="center"/>
        <w:rPr>
          <w:rFonts w:ascii="Times New Roman" w:hAnsi="Times New Roman"/>
          <w:sz w:val="16"/>
          <w:szCs w:val="16"/>
        </w:rPr>
      </w:pPr>
      <w:r>
        <w:rPr>
          <w:rFonts w:ascii="Times New Roman" w:hAnsi="Times New Roman"/>
          <w:sz w:val="16"/>
          <w:szCs w:val="16"/>
        </w:rPr>
      </w:r>
    </w:p>
    <w:p>
      <w:pPr>
        <w:pStyle w:val="Style17"/>
        <w:shd w:val="clear" w:color="auto" w:fill="FFFFFF"/>
        <w:spacing w:lineRule="auto" w:line="216" w:before="0" w:after="0"/>
        <w:ind w:right="450" w:hanging="0"/>
        <w:jc w:val="center"/>
        <w:rPr>
          <w:rFonts w:ascii="Times New Roman" w:hAnsi="Times New Roman" w:eastAsia="Times New Roman" w:cs="Times New Roman"/>
          <w:b/>
          <w:b/>
          <w:bCs/>
          <w:color w:val="000000"/>
          <w:spacing w:val="-1"/>
          <w:sz w:val="28"/>
          <w:szCs w:val="28"/>
          <w:lang w:eastAsia="uk-UA"/>
        </w:rPr>
      </w:pPr>
      <w:r>
        <w:rPr>
          <w:rFonts w:eastAsia="Times New Roman" w:cs="Times New Roman" w:ascii="Times New Roman" w:hAnsi="Times New Roman"/>
          <w:b/>
          <w:bCs/>
          <w:color w:val="000000"/>
          <w:spacing w:val="-1"/>
          <w:sz w:val="28"/>
          <w:szCs w:val="28"/>
          <w:lang w:eastAsia="uk-UA"/>
        </w:rPr>
        <w:t xml:space="preserve">     </w:t>
      </w:r>
      <w:r>
        <w:rPr>
          <w:rFonts w:eastAsia="Times New Roman" w:cs="Times New Roman" w:ascii="Times New Roman" w:hAnsi="Times New Roman"/>
          <w:b/>
          <w:bCs/>
          <w:color w:val="000000"/>
          <w:spacing w:val="-1"/>
          <w:sz w:val="28"/>
          <w:szCs w:val="28"/>
          <w:lang w:eastAsia="uk-UA"/>
        </w:rPr>
        <w:t>РОЗПОРЯДЖЕННЯ МІСЬКОГО ГОЛОВИ</w:t>
      </w:r>
    </w:p>
    <w:p>
      <w:pPr>
        <w:pStyle w:val="Style17"/>
        <w:shd w:val="clear" w:color="auto" w:fill="FFFFFF"/>
        <w:spacing w:lineRule="auto" w:line="216" w:before="0" w:after="0"/>
        <w:ind w:right="450" w:hanging="0"/>
        <w:jc w:val="center"/>
        <w:rPr>
          <w:rFonts w:ascii="Times New Roman" w:hAnsi="Times New Roman"/>
        </w:rPr>
      </w:pPr>
      <w:r>
        <w:rPr>
          <w:rFonts w:ascii="Times New Roman" w:hAnsi="Times New Roman"/>
        </w:rPr>
      </w:r>
    </w:p>
    <w:p>
      <w:pPr>
        <w:pStyle w:val="Style17"/>
        <w:shd w:val="clear" w:color="auto" w:fill="FFFFFF"/>
        <w:spacing w:lineRule="auto" w:line="240" w:before="0" w:after="0"/>
        <w:ind w:right="450" w:hanging="0"/>
        <w:rPr>
          <w:rFonts w:ascii="Times New Roman" w:hAnsi="Times New Roman"/>
        </w:rPr>
      </w:pPr>
      <w:r>
        <w:rPr>
          <w:rFonts w:eastAsia="Times New Roman" w:cs="Times New Roman" w:ascii="Times New Roman" w:hAnsi="Times New Roman"/>
          <w:color w:val="000000"/>
          <w:spacing w:val="-1"/>
          <w:sz w:val="28"/>
          <w:szCs w:val="28"/>
          <w:lang w:eastAsia="uk-UA"/>
        </w:rPr>
        <w:t xml:space="preserve">19.02.2026                                         </w:t>
      </w:r>
      <w:r>
        <w:rPr>
          <w:rFonts w:eastAsia="Times New Roman" w:cs="Times New Roman" w:ascii="Times New Roman" w:hAnsi="Times New Roman"/>
          <w:color w:val="000000"/>
          <w:spacing w:val="-1"/>
          <w:sz w:val="20"/>
          <w:szCs w:val="20"/>
          <w:lang w:eastAsia="uk-UA"/>
        </w:rPr>
        <w:t xml:space="preserve"> м.Покров</w:t>
      </w:r>
      <w:r>
        <w:rPr>
          <w:rFonts w:eastAsia="Times New Roman" w:cs="Times New Roman" w:ascii="Times New Roman" w:hAnsi="Times New Roman"/>
          <w:color w:val="000000"/>
          <w:spacing w:val="-1"/>
          <w:sz w:val="28"/>
          <w:szCs w:val="28"/>
          <w:lang w:eastAsia="uk-UA"/>
        </w:rPr>
        <w:t xml:space="preserve">                                 № Р-47/06-34-26</w:t>
      </w:r>
    </w:p>
    <w:p>
      <w:pPr>
        <w:pStyle w:val="Style17"/>
        <w:shd w:val="clear" w:color="auto" w:fill="FFFFFF"/>
        <w:spacing w:lineRule="auto" w:line="240" w:before="0" w:after="0"/>
        <w:ind w:right="450" w:hanging="0"/>
        <w:jc w:val="center"/>
        <w:rPr>
          <w:rFonts w:ascii="Times New Roman" w:hAnsi="Times New Roman"/>
          <w:b/>
          <w:b/>
          <w:bCs/>
          <w:sz w:val="12"/>
          <w:szCs w:val="12"/>
        </w:rPr>
      </w:pPr>
      <w:r>
        <w:rPr>
          <w:rFonts w:ascii="Times New Roman" w:hAnsi="Times New Roman"/>
          <w:b/>
          <w:bCs/>
          <w:sz w:val="12"/>
          <w:szCs w:val="12"/>
        </w:rPr>
      </w:r>
    </w:p>
    <w:p>
      <w:pPr>
        <w:pStyle w:val="Normal"/>
        <w:spacing w:before="0" w:after="0"/>
        <w:jc w:val="both"/>
        <w:rPr>
          <w:rFonts w:ascii="Times New Roman" w:hAnsi="Times New Roman"/>
          <w:sz w:val="27"/>
          <w:szCs w:val="27"/>
        </w:rPr>
      </w:pPr>
      <w:r>
        <w:rPr>
          <w:rFonts w:ascii="Times New Roman" w:hAnsi="Times New Roman"/>
          <w:sz w:val="27"/>
          <w:szCs w:val="27"/>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t>Про затвердження Положення</w:t>
      </w:r>
    </w:p>
    <w:p>
      <w:pPr>
        <w:pStyle w:val="Style17"/>
        <w:spacing w:lineRule="auto" w:line="240" w:before="0" w:after="0"/>
        <w:jc w:val="both"/>
        <w:rPr>
          <w:rFonts w:ascii="Times New Roman" w:hAnsi="Times New Roman"/>
          <w:sz w:val="26"/>
          <w:szCs w:val="26"/>
        </w:rPr>
      </w:pPr>
      <w:r>
        <w:rPr>
          <w:rFonts w:ascii="Times New Roman" w:hAnsi="Times New Roman"/>
          <w:sz w:val="26"/>
          <w:szCs w:val="26"/>
        </w:rPr>
        <w:t>про облікову політику</w:t>
      </w:r>
    </w:p>
    <w:p>
      <w:pPr>
        <w:pStyle w:val="Style17"/>
        <w:spacing w:lineRule="auto" w:line="240" w:before="0" w:after="0"/>
        <w:jc w:val="both"/>
        <w:rPr>
          <w:rFonts w:ascii="Times New Roman" w:hAnsi="Times New Roman"/>
          <w:sz w:val="26"/>
          <w:szCs w:val="26"/>
        </w:rPr>
      </w:pPr>
      <w:r>
        <w:rPr>
          <w:rFonts w:ascii="Times New Roman" w:hAnsi="Times New Roman"/>
          <w:sz w:val="26"/>
          <w:szCs w:val="26"/>
        </w:rPr>
        <w:tab/>
      </w:r>
    </w:p>
    <w:p>
      <w:pPr>
        <w:pStyle w:val="Style17"/>
        <w:spacing w:lineRule="auto" w:line="240" w:before="0" w:after="0"/>
        <w:jc w:val="both"/>
        <w:rPr>
          <w:rFonts w:ascii="Times New Roman" w:hAnsi="Times New Roman"/>
          <w:sz w:val="26"/>
          <w:szCs w:val="26"/>
        </w:rPr>
      </w:pPr>
      <w:r>
        <w:rPr>
          <w:rFonts w:ascii="Times New Roman" w:hAnsi="Times New Roman"/>
          <w:sz w:val="26"/>
          <w:szCs w:val="26"/>
        </w:rPr>
        <w:t xml:space="preserve">    </w:t>
      </w:r>
    </w:p>
    <w:p>
      <w:pPr>
        <w:pStyle w:val="Style17"/>
        <w:spacing w:lineRule="auto" w:line="240" w:before="0" w:after="0"/>
        <w:jc w:val="both"/>
        <w:rPr>
          <w:rFonts w:ascii="Times New Roman" w:hAnsi="Times New Roman"/>
          <w:sz w:val="26"/>
          <w:szCs w:val="26"/>
        </w:rPr>
      </w:pPr>
      <w:r>
        <w:rPr>
          <w:rFonts w:ascii="Times New Roman" w:hAnsi="Times New Roman"/>
          <w:sz w:val="26"/>
          <w:szCs w:val="26"/>
        </w:rPr>
        <w:tab/>
        <w:t xml:space="preserve">Керуючись Законами України «Про бухгалтерський облік та фінансову звітність в Україні», «Про місцеве самоврядування в Україні» та з метою визначення методів оцінки, обліку і процедур, які застосовуються виконавчим комітетом Покровської міської ради Дніпропетровської області для ведення бухгалтерського обліку, складання і подання фінансової та бюджетної звітності </w:t>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b/>
          <w:sz w:val="26"/>
          <w:szCs w:val="26"/>
        </w:rPr>
        <w:t>ЗОБОВ’ЯЗУЮ:</w:t>
      </w:r>
      <w:r>
        <w:rPr>
          <w:rFonts w:ascii="Times New Roman" w:hAnsi="Times New Roman"/>
          <w:sz w:val="26"/>
          <w:szCs w:val="26"/>
        </w:rPr>
        <w:t xml:space="preserve">   </w:t>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tab/>
        <w:t xml:space="preserve">1.Затвердити Положення про облікову політику виконавчого комітету Покровської міської ради Дніпропетровської області, що додається. </w:t>
      </w:r>
    </w:p>
    <w:p>
      <w:pPr>
        <w:pStyle w:val="Style17"/>
        <w:spacing w:lineRule="auto" w:line="240" w:before="0" w:after="0"/>
        <w:jc w:val="both"/>
        <w:rPr>
          <w:rFonts w:ascii="Times New Roman" w:hAnsi="Times New Roman"/>
          <w:sz w:val="26"/>
          <w:szCs w:val="26"/>
        </w:rPr>
      </w:pPr>
      <w:r>
        <w:rPr>
          <w:rFonts w:ascii="Times New Roman" w:hAnsi="Times New Roman"/>
          <w:sz w:val="26"/>
          <w:szCs w:val="26"/>
        </w:rPr>
        <w:tab/>
        <w:t>2.Відділ бухгалтерського обліку здійснювати виконання цього розпорядження та забезпечувати приведення документів, які регламентують питання бухгалтерського обліку, у відповідності до вимог цього Положення.</w:t>
      </w:r>
    </w:p>
    <w:p>
      <w:pPr>
        <w:pStyle w:val="Style17"/>
        <w:spacing w:lineRule="auto" w:line="240" w:before="0" w:after="0"/>
        <w:ind w:right="-93" w:hanging="0"/>
        <w:jc w:val="both"/>
        <w:rPr>
          <w:rFonts w:ascii="Times New Roman" w:hAnsi="Times New Roman"/>
          <w:sz w:val="26"/>
          <w:szCs w:val="26"/>
        </w:rPr>
      </w:pPr>
      <w:r>
        <w:rPr>
          <w:rFonts w:ascii="Times New Roman" w:hAnsi="Times New Roman"/>
          <w:sz w:val="26"/>
          <w:szCs w:val="26"/>
        </w:rPr>
        <w:tab/>
        <w:t>3.</w:t>
      </w:r>
      <w:r>
        <w:rPr>
          <w:rFonts w:eastAsia="Calibri" w:cs="" w:ascii="Times New Roman" w:hAnsi="Times New Roman" w:cstheme="minorBidi" w:eastAsiaTheme="minorHAnsi"/>
          <w:color w:val="auto"/>
          <w:kern w:val="0"/>
          <w:sz w:val="26"/>
          <w:szCs w:val="26"/>
          <w:lang w:val="uk-UA" w:eastAsia="en-US" w:bidi="ar-SA"/>
        </w:rPr>
        <w:t>Визнати</w:t>
      </w:r>
      <w:r>
        <w:rPr>
          <w:rFonts w:ascii="Times New Roman" w:hAnsi="Times New Roman"/>
          <w:sz w:val="26"/>
          <w:szCs w:val="26"/>
        </w:rPr>
        <w:t xml:space="preserve"> таким, що втратило чинність розпорядження міського голови від                    09 </w:t>
      </w:r>
      <w:r>
        <w:rPr>
          <w:rFonts w:ascii="Times New Roman" w:hAnsi="Times New Roman"/>
          <w:sz w:val="26"/>
          <w:szCs w:val="26"/>
          <w:lang w:val="uk-UA"/>
        </w:rPr>
        <w:t>лютого</w:t>
      </w:r>
      <w:r>
        <w:rPr>
          <w:rFonts w:ascii="Times New Roman" w:hAnsi="Times New Roman"/>
          <w:sz w:val="26"/>
          <w:szCs w:val="26"/>
        </w:rPr>
        <w:t xml:space="preserve"> 2024 року №Р-34/06-34-24 «Про затвердження Положення про облікову політику».</w:t>
      </w:r>
    </w:p>
    <w:p>
      <w:pPr>
        <w:pStyle w:val="Style17"/>
        <w:spacing w:lineRule="auto" w:line="240" w:before="0" w:after="0"/>
        <w:jc w:val="both"/>
        <w:rPr>
          <w:rFonts w:ascii="Times New Roman" w:hAnsi="Times New Roman"/>
          <w:sz w:val="26"/>
          <w:szCs w:val="26"/>
        </w:rPr>
      </w:pPr>
      <w:r>
        <w:rPr>
          <w:rFonts w:ascii="Times New Roman" w:hAnsi="Times New Roman"/>
          <w:sz w:val="26"/>
          <w:szCs w:val="26"/>
        </w:rPr>
        <w:tab/>
        <w:t>4.Координацію роботи щодо виконання цього розпорядження покласти на начальника відділу бухгалтерського обліку Євгена МОРОЗ</w:t>
      </w:r>
      <w:bookmarkStart w:id="0" w:name="_GoBack"/>
      <w:bookmarkEnd w:id="0"/>
      <w:r>
        <w:rPr>
          <w:rFonts w:ascii="Times New Roman" w:hAnsi="Times New Roman"/>
          <w:sz w:val="26"/>
          <w:szCs w:val="26"/>
        </w:rPr>
        <w:t xml:space="preserve">А. Контроль за виконанням цього розпорядження  покласти на керуючого справами </w:t>
      </w:r>
      <w:r>
        <w:rPr>
          <w:rFonts w:ascii="Times New Roman" w:hAnsi="Times New Roman"/>
          <w:sz w:val="26"/>
          <w:szCs w:val="26"/>
          <w:lang w:val="uk-UA"/>
        </w:rPr>
        <w:t>виконавчого комітету</w:t>
      </w:r>
      <w:r>
        <w:rPr>
          <w:rFonts w:ascii="Times New Roman" w:hAnsi="Times New Roman"/>
          <w:sz w:val="26"/>
          <w:szCs w:val="26"/>
        </w:rPr>
        <w:t xml:space="preserve"> </w:t>
      </w:r>
      <w:r>
        <w:rPr>
          <w:rFonts w:ascii="Times New Roman" w:hAnsi="Times New Roman"/>
          <w:sz w:val="26"/>
          <w:szCs w:val="26"/>
          <w:lang w:val="uk-UA"/>
        </w:rPr>
        <w:t>Вікторію АГАПОВУ</w:t>
      </w:r>
      <w:r>
        <w:rPr>
          <w:rFonts w:ascii="Times New Roman" w:hAnsi="Times New Roman"/>
          <w:sz w:val="26"/>
          <w:szCs w:val="26"/>
        </w:rPr>
        <w:t>.</w:t>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t xml:space="preserve">Міський  голова                                                                          </w:t>
        <w:tab/>
        <w:t xml:space="preserve">Олександр ШАПОВАЛ    </w:t>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17"/>
        <w:spacing w:lineRule="auto" w:line="240" w:before="0" w:after="0"/>
        <w:jc w:val="both"/>
        <w:rPr>
          <w:rFonts w:ascii="Times New Roman" w:hAnsi="Times New Roman"/>
          <w:sz w:val="26"/>
          <w:szCs w:val="26"/>
        </w:rPr>
      </w:pPr>
      <w:r>
        <w:rPr>
          <w:rFonts w:ascii="Times New Roman" w:hAnsi="Times New Roman"/>
          <w:sz w:val="26"/>
          <w:szCs w:val="26"/>
        </w:rPr>
      </w:r>
    </w:p>
    <w:p>
      <w:pPr>
        <w:pStyle w:val="Style22"/>
        <w:tabs>
          <w:tab w:val="clear" w:pos="720"/>
          <w:tab w:val="left" w:pos="8505" w:leader="none"/>
        </w:tabs>
        <w:suppressAutoHyphens w:val="true"/>
        <w:spacing w:lineRule="auto" w:line="240" w:before="0" w:after="0"/>
        <w:ind w:left="5102" w:right="0" w:hanging="0"/>
        <w:jc w:val="both"/>
        <w:rPr/>
      </w:pPr>
      <w:r>
        <w:rPr>
          <w:rStyle w:val="Style15"/>
          <w:rFonts w:ascii="Times New Roman" w:hAnsi="Times New Roman"/>
          <w:color w:val="000000"/>
          <w:sz w:val="24"/>
          <w:szCs w:val="24"/>
          <w:lang w:val="uk-UA" w:eastAsia="ru-RU"/>
        </w:rPr>
        <w:t xml:space="preserve">ЗАТВЕРДЖЕНО                                                                                            </w:t>
      </w:r>
    </w:p>
    <w:p>
      <w:pPr>
        <w:pStyle w:val="Style22"/>
        <w:tabs>
          <w:tab w:val="clear" w:pos="720"/>
          <w:tab w:val="left" w:pos="8505" w:leader="none"/>
        </w:tabs>
        <w:suppressAutoHyphens w:val="true"/>
        <w:spacing w:lineRule="auto" w:line="240" w:before="0" w:after="0"/>
        <w:jc w:val="both"/>
        <w:rPr/>
      </w:pPr>
      <w:r>
        <w:rPr>
          <w:rStyle w:val="Style15"/>
          <w:rFonts w:ascii="Times New Roman" w:hAnsi="Times New Roman"/>
          <w:color w:val="000000"/>
          <w:sz w:val="24"/>
          <w:szCs w:val="24"/>
          <w:lang w:val="uk-UA" w:eastAsia="ru-RU"/>
        </w:rPr>
        <w:t xml:space="preserve">                                                                                    </w:t>
      </w:r>
    </w:p>
    <w:p>
      <w:pPr>
        <w:pStyle w:val="Style22"/>
        <w:tabs>
          <w:tab w:val="clear" w:pos="720"/>
          <w:tab w:val="left" w:pos="8505" w:leader="none"/>
        </w:tabs>
        <w:suppressAutoHyphens w:val="true"/>
        <w:spacing w:lineRule="auto" w:line="240" w:before="0" w:after="0"/>
        <w:ind w:left="5102" w:right="0" w:hanging="0"/>
        <w:jc w:val="both"/>
        <w:rPr/>
      </w:pPr>
      <w:r>
        <w:rPr>
          <w:rStyle w:val="Style15"/>
          <w:rFonts w:ascii="Times New Roman" w:hAnsi="Times New Roman"/>
          <w:color w:val="000000"/>
          <w:sz w:val="24"/>
          <w:szCs w:val="24"/>
          <w:lang w:val="uk-UA" w:eastAsia="ru-RU"/>
        </w:rPr>
        <w:t>Розпорядження міського голови</w:t>
      </w:r>
    </w:p>
    <w:p>
      <w:pPr>
        <w:pStyle w:val="Style22"/>
        <w:tabs>
          <w:tab w:val="clear" w:pos="720"/>
          <w:tab w:val="left" w:pos="8505" w:leader="none"/>
        </w:tabs>
        <w:suppressAutoHyphens w:val="true"/>
        <w:spacing w:lineRule="auto" w:line="240" w:before="0" w:after="0"/>
        <w:ind w:left="5102" w:right="0" w:hanging="0"/>
        <w:jc w:val="both"/>
        <w:rPr/>
      </w:pPr>
      <w:r>
        <w:rPr>
          <w:rStyle w:val="Style15"/>
          <w:rFonts w:cs="RobotoLight;Times New Roman" w:ascii="Times New Roman" w:hAnsi="Times New Roman"/>
          <w:b w:val="false"/>
          <w:bCs w:val="false"/>
          <w:color w:val="000000"/>
          <w:sz w:val="24"/>
          <w:szCs w:val="24"/>
          <w:lang w:val="uk-UA" w:eastAsia="ru-RU"/>
        </w:rPr>
        <w:t>19.03.2026 № Р-4</w:t>
      </w:r>
      <w:r>
        <w:rPr>
          <w:rStyle w:val="Style15"/>
          <w:rFonts w:cs="RobotoLight;Times New Roman" w:ascii="Times New Roman" w:hAnsi="Times New Roman"/>
          <w:b w:val="false"/>
          <w:bCs w:val="false"/>
          <w:color w:val="000000"/>
          <w:sz w:val="24"/>
          <w:szCs w:val="24"/>
          <w:lang w:val="uk-UA" w:eastAsia="ru-RU"/>
        </w:rPr>
        <w:t>7</w:t>
      </w:r>
      <w:r>
        <w:rPr>
          <w:rStyle w:val="Style15"/>
          <w:rFonts w:cs="RobotoLight;Times New Roman" w:ascii="Times New Roman" w:hAnsi="Times New Roman"/>
          <w:b w:val="false"/>
          <w:bCs w:val="false"/>
          <w:color w:val="000000"/>
          <w:sz w:val="24"/>
          <w:szCs w:val="24"/>
          <w:lang w:val="uk-UA" w:eastAsia="ru-RU"/>
        </w:rPr>
        <w:t>/06-34-26</w:t>
      </w:r>
    </w:p>
    <w:p>
      <w:pPr>
        <w:pStyle w:val="Normal"/>
        <w:suppressAutoHyphens w:val="true"/>
        <w:spacing w:lineRule="auto" w:line="240" w:before="0" w:after="0"/>
        <w:jc w:val="both"/>
        <w:rPr>
          <w:rFonts w:ascii="Times New Roman" w:hAnsi="Times New Roman" w:eastAsia="Times New Roman"/>
          <w:color w:val="000000"/>
          <w:sz w:val="24"/>
          <w:szCs w:val="24"/>
          <w:lang w:val="uk-UA"/>
        </w:rPr>
      </w:pPr>
      <w:r>
        <w:rPr>
          <w:rFonts w:eastAsia="Times New Roman" w:ascii="Times New Roman" w:hAnsi="Times New Roman"/>
          <w:color w:val="000000"/>
          <w:sz w:val="24"/>
          <w:szCs w:val="24"/>
          <w:lang w:val="uk-UA"/>
        </w:rPr>
      </w:r>
    </w:p>
    <w:p>
      <w:pPr>
        <w:pStyle w:val="Normal"/>
        <w:tabs>
          <w:tab w:val="clear" w:pos="720"/>
        </w:tabs>
        <w:suppressAutoHyphens w:val="true"/>
        <w:spacing w:lineRule="auto" w:line="240" w:before="0" w:after="0"/>
        <w:ind w:left="2240" w:right="880" w:firstLine="640"/>
        <w:jc w:val="both"/>
        <w:rPr>
          <w:rFonts w:ascii="Times New Roman" w:hAnsi="Times New Roman" w:eastAsia="Times New Roman"/>
          <w:b/>
          <w:b/>
          <w:color w:val="000000"/>
          <w:sz w:val="24"/>
          <w:szCs w:val="24"/>
          <w:lang w:val="uk-UA"/>
        </w:rPr>
      </w:pPr>
      <w:r>
        <w:rPr>
          <w:rFonts w:eastAsia="Times New Roman" w:ascii="Times New Roman" w:hAnsi="Times New Roman"/>
          <w:b/>
          <w:color w:val="000000"/>
          <w:sz w:val="24"/>
          <w:szCs w:val="24"/>
          <w:lang w:val="uk-UA"/>
        </w:rPr>
      </w:r>
    </w:p>
    <w:p>
      <w:pPr>
        <w:pStyle w:val="Normal"/>
        <w:tabs>
          <w:tab w:val="clear" w:pos="720"/>
        </w:tabs>
        <w:suppressAutoHyphens w:val="true"/>
        <w:spacing w:lineRule="auto" w:line="240" w:before="0" w:after="0"/>
        <w:ind w:left="2240" w:right="880" w:firstLine="640"/>
        <w:jc w:val="both"/>
        <w:rPr>
          <w:rFonts w:ascii="Times New Roman" w:hAnsi="Times New Roman" w:eastAsia="Times New Roman"/>
          <w:b/>
          <w:b/>
          <w:color w:val="000000"/>
          <w:sz w:val="24"/>
          <w:szCs w:val="24"/>
          <w:lang w:val="uk-UA"/>
        </w:rPr>
      </w:pPr>
      <w:r>
        <w:rPr>
          <w:rFonts w:eastAsia="Times New Roman" w:ascii="Times New Roman" w:hAnsi="Times New Roman"/>
          <w:b/>
          <w:color w:val="000000"/>
          <w:sz w:val="24"/>
          <w:szCs w:val="24"/>
          <w:lang w:val="uk-UA"/>
        </w:rPr>
      </w:r>
    </w:p>
    <w:p>
      <w:pPr>
        <w:pStyle w:val="Normal"/>
        <w:tabs>
          <w:tab w:val="clear" w:pos="720"/>
        </w:tabs>
        <w:suppressAutoHyphens w:val="true"/>
        <w:spacing w:lineRule="auto" w:line="240" w:before="0" w:after="0"/>
        <w:ind w:left="2240" w:right="880" w:firstLine="640"/>
        <w:jc w:val="both"/>
        <w:rPr>
          <w:rFonts w:ascii="Times New Roman" w:hAnsi="Times New Roman" w:eastAsia="Times New Roman"/>
          <w:b/>
          <w:b/>
          <w:color w:val="000000"/>
          <w:sz w:val="24"/>
          <w:szCs w:val="24"/>
          <w:lang w:val="uk-UA"/>
        </w:rPr>
      </w:pPr>
      <w:r>
        <w:rPr>
          <w:rFonts w:eastAsia="Times New Roman" w:ascii="Times New Roman" w:hAnsi="Times New Roman"/>
          <w:b/>
          <w:color w:val="000000"/>
          <w:sz w:val="24"/>
          <w:szCs w:val="24"/>
          <w:lang w:val="uk-UA"/>
        </w:rPr>
        <w:t>Положення про облікову політику</w:t>
      </w:r>
    </w:p>
    <w:p>
      <w:pPr>
        <w:pStyle w:val="Normal"/>
        <w:suppressAutoHyphens w:val="true"/>
        <w:spacing w:lineRule="auto" w:line="240" w:before="0" w:after="0"/>
        <w:jc w:val="both"/>
        <w:rPr>
          <w:rFonts w:ascii="Times New Roman" w:hAnsi="Times New Roman" w:eastAsia="Times New Roman"/>
          <w:color w:val="000000"/>
          <w:sz w:val="24"/>
          <w:szCs w:val="24"/>
          <w:lang w:val="uk-UA"/>
        </w:rPr>
      </w:pPr>
      <w:r>
        <w:rPr>
          <w:rFonts w:eastAsia="Times New Roman" w:ascii="Times New Roman" w:hAnsi="Times New Roman"/>
          <w:color w:val="000000"/>
          <w:sz w:val="24"/>
          <w:szCs w:val="24"/>
          <w:lang w:val="uk-UA"/>
        </w:rPr>
      </w:r>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 xml:space="preserve"> </w:t>
      </w:r>
      <w:r>
        <w:rPr>
          <w:color w:val="000000"/>
          <w:sz w:val="24"/>
          <w:szCs w:val="24"/>
        </w:rPr>
        <w:t>Положення про облікову політику (далі - Положення) визначає методи оцінки, обліку і процедури, які застосовуються Виконавчим комітетом Покровської міської ради Дніпропетровської області для ведення бухгалтерського обліку, складання і подання фінансової та бюджетної звітності, не визначені національними положеннями (стандартами) бухгалтерського обліку в державному секторі або щодо яких передбачено більш ніж один їх варіант, а також строки корисного використання груп основних засобів та нематеріальних активів.</w:t>
      </w:r>
    </w:p>
    <w:p>
      <w:pPr>
        <w:pStyle w:val="Rvps2"/>
        <w:shd w:val="clear" w:fill="FFFFFF"/>
        <w:suppressAutoHyphens w:val="true"/>
        <w:spacing w:lineRule="auto" w:line="240" w:before="0" w:after="0"/>
        <w:ind w:left="0" w:right="0" w:firstLine="450"/>
        <w:jc w:val="both"/>
        <w:rPr>
          <w:color w:val="000000"/>
          <w:sz w:val="24"/>
          <w:szCs w:val="24"/>
        </w:rPr>
      </w:pPr>
      <w:bookmarkStart w:id="1" w:name="n701"/>
      <w:bookmarkEnd w:id="1"/>
      <w:r>
        <w:rPr>
          <w:color w:val="000000"/>
          <w:sz w:val="24"/>
          <w:szCs w:val="24"/>
        </w:rPr>
        <w:t>1. Одиницею аналітичного обліку запасів визнається їх найменування</w:t>
      </w:r>
      <w:bookmarkStart w:id="2" w:name="n702"/>
      <w:bookmarkEnd w:id="2"/>
      <w:r>
        <w:rPr>
          <w:color w:val="000000"/>
          <w:sz w:val="24"/>
          <w:szCs w:val="24"/>
        </w:rPr>
        <w:t>.</w:t>
      </w:r>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2. Приймання матеріальних цінностей може здійснюватися комісією по оприбуткуванню матеріальних цінностей.</w:t>
      </w:r>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 xml:space="preserve">3. У місцях зберігання запасів матеріально відповідальні особи ведуть кількісний облік руху запасів за найменуваннями, номенклатурними номерами та кількістю. </w:t>
      </w:r>
      <w:bookmarkStart w:id="3" w:name="n703"/>
      <w:bookmarkEnd w:id="3"/>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4. У відділі бухгалтерського обліку, облік запасів ведеться за найменуваннями, номенклатурними номерами в розрізі матеріально відповідальних осіб - в оборотних відомостях (за кожним субрахунком) в кількісному та сумарному вимірах.</w:t>
      </w:r>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5. Матеріальні цінності, які обліковуються з метою безоплатного розподілу, передачі відображаються за первісною вартістю в разі наявності первинних документів. У разі відсутності первинних документів, які підтверджують вартість безоплатно отриманих матеріальних цінностей, матеріальні цінності відображаються за справедливою вартістю. Такі матеріальні цінності в бухгалтерському обліку обліковуються  на рахунку 1815 «Активи для розподілу, передачі, продажу».</w:t>
      </w:r>
    </w:p>
    <w:p>
      <w:pPr>
        <w:pStyle w:val="Rvps2"/>
        <w:shd w:val="clear" w:fill="FFFFFF"/>
        <w:suppressAutoHyphens w:val="true"/>
        <w:spacing w:lineRule="auto" w:line="240" w:before="0" w:after="0"/>
        <w:ind w:left="0" w:right="0" w:firstLine="450"/>
        <w:jc w:val="both"/>
        <w:rPr/>
      </w:pPr>
      <w:r>
        <w:rPr>
          <w:rStyle w:val="Style15"/>
          <w:color w:val="000000"/>
          <w:sz w:val="24"/>
          <w:szCs w:val="24"/>
        </w:rPr>
        <w:t xml:space="preserve">6. Збереження, рух та вибуття поштових марок та маркованих конвертів здійснюється матеріально-відповідальною особою призначеною розпорядженням міського голови. Щокварталу на дату балансу матеріально-відповідальна особа надає до відділу бухгалтерського обліку реєстр відправленої кореспонденції (Додаток 1), що є підставою для складання акту списання запасів за формою відповідно до Методичних рекомендацій з бухгалтерського обліку запасів суб'єктів державного сектору. </w:t>
      </w:r>
      <w:bookmarkStart w:id="4" w:name="n704"/>
      <w:bookmarkEnd w:id="4"/>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7. Порядок використання службових легкових автомобілів, для поїздок пов’язаних із службовою діяльністю, що перебувають на балансі виконавчого комітету Покровської міської ради Дніпропетровської області затверджується рішенням виконавчого комітету Покровської міської ради Дніпропетровської області.</w:t>
      </w:r>
    </w:p>
    <w:p>
      <w:pPr>
        <w:pStyle w:val="Rvps2"/>
        <w:shd w:val="clear" w:fill="FFFFFF"/>
        <w:suppressAutoHyphens w:val="true"/>
        <w:spacing w:lineRule="auto" w:line="240" w:before="0" w:after="0"/>
        <w:ind w:left="0" w:right="0" w:firstLine="450"/>
        <w:jc w:val="both"/>
        <w:rPr/>
      </w:pPr>
      <w:r>
        <w:rPr>
          <w:rStyle w:val="Style15"/>
          <w:color w:val="000000"/>
          <w:sz w:val="24"/>
          <w:szCs w:val="24"/>
        </w:rPr>
        <w:t xml:space="preserve">8. Облік роботи автомобільних шин та їх списання проводиться відповідно до Експлуатаційних норм середнього ресурсу пневматичних шин колісних транспортних засобів і спеціальних машин, виконаних на колісних шасі, затверджених наказом Міністерства транспорту та зв’язку України від 20.05.2006 № 488. В разі відсутності відповідної марки, моделі чи найменування колісного транспортного засобу, застосовуються найбільш наближені до технічних показників моделі. </w:t>
      </w:r>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9. Заміна акумуляторів проводиться відповідно до Експлуатаційних норм середнього ресурсу акумуляторних свинцевих стартерних батарей колісних транспортних засобів і спеціальних машин, виконаних на колісних шасі, затверджених наказом Міністерства транспорту та зв’язку України від 20.05.2006 № 489. В разі відсутності відповідної марки, моделі чи найменування колісного транспортного засобу, застосовуються найбільш наближені до технічних показників моделі.</w:t>
      </w:r>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10. Підставою для підтвердження факту використання/руху паливо-мастильних матеріалів є шляхові листи, зведена відомість обліку виділення та використання паливно-мастильних матеріалів для забезпечення функціонування об’єктів критичної інфраструктури, відомість з обліку, зберігання та видачі талонів на пально-мастильних матеріалів (талонів), які обліковуються на балансі виконавчого комітету Покровської міської ради Дніпропетровської області тощо.</w:t>
      </w:r>
    </w:p>
    <w:p>
      <w:pPr>
        <w:pStyle w:val="Rvps2"/>
        <w:shd w:val="clear" w:fill="FFFFFF"/>
        <w:suppressAutoHyphens w:val="true"/>
        <w:spacing w:lineRule="auto" w:line="240" w:before="0" w:after="0"/>
        <w:ind w:left="0" w:right="0" w:firstLine="450"/>
        <w:jc w:val="both"/>
        <w:rPr/>
      </w:pPr>
      <w:bookmarkStart w:id="5" w:name="n706"/>
      <w:bookmarkEnd w:id="5"/>
      <w:r>
        <w:rPr>
          <w:rStyle w:val="Style15"/>
          <w:color w:val="000000"/>
          <w:sz w:val="24"/>
          <w:szCs w:val="24"/>
        </w:rPr>
        <w:t>11. Амортизація необоротних активів нараховується в строки корисного використання основних засобів та нематеріальних активів, визначених у додатках 1, 2 до Методичних рекомендацій щодо облікової політики суб'єкта державного сектору, затверджених наказом Міністерства фінансів України від 23 січня 2015 року № 11.</w:t>
      </w:r>
    </w:p>
    <w:p>
      <w:pPr>
        <w:pStyle w:val="Rvps2"/>
        <w:shd w:val="clear" w:fill="FFFFFF"/>
        <w:suppressAutoHyphens w:val="true"/>
        <w:spacing w:lineRule="auto" w:line="240" w:before="0" w:after="0"/>
        <w:ind w:left="0" w:right="0" w:firstLine="450"/>
        <w:jc w:val="both"/>
        <w:rPr>
          <w:color w:val="000000"/>
          <w:sz w:val="24"/>
          <w:szCs w:val="24"/>
        </w:rPr>
      </w:pPr>
      <w:bookmarkStart w:id="6" w:name="n707"/>
      <w:bookmarkEnd w:id="6"/>
      <w:r>
        <w:rPr>
          <w:color w:val="000000"/>
          <w:sz w:val="24"/>
          <w:szCs w:val="24"/>
        </w:rPr>
        <w:t>12. Нарахування амортизації проводиться на дату балансу (щороку).</w:t>
      </w:r>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13. Вартість малоцінних необоротних матеріальних активів встановлюється рішенням виконавчого комітету Покровської міської ради Дніпропетровської області.</w:t>
      </w:r>
    </w:p>
    <w:p>
      <w:pPr>
        <w:pStyle w:val="Rvps2"/>
        <w:shd w:val="clear" w:fill="FFFFFF"/>
        <w:suppressAutoHyphens w:val="true"/>
        <w:spacing w:lineRule="auto" w:line="240" w:before="0" w:after="0"/>
        <w:ind w:left="0" w:right="0" w:firstLine="450"/>
        <w:jc w:val="both"/>
        <w:rPr/>
      </w:pPr>
      <w:r>
        <w:rPr>
          <w:rStyle w:val="Style15"/>
          <w:color w:val="000000"/>
          <w:sz w:val="24"/>
          <w:szCs w:val="24"/>
        </w:rPr>
        <w:t>14. Виділення/передача/повернення матеріальних цінностей з/для матеріального резерву здійснюється за рішенням виконавчого комітету Покровської міської ради Дніпропетровської області.</w:t>
      </w:r>
    </w:p>
    <w:p>
      <w:pPr>
        <w:pStyle w:val="Rvps2"/>
        <w:shd w:val="clear" w:fill="FFFFFF"/>
        <w:suppressAutoHyphens w:val="true"/>
        <w:spacing w:lineRule="auto" w:line="240" w:before="0" w:after="0"/>
        <w:ind w:left="0" w:right="0" w:firstLine="450"/>
        <w:jc w:val="both"/>
        <w:rPr/>
      </w:pPr>
      <w:r>
        <w:rPr>
          <w:rStyle w:val="Style15"/>
          <w:color w:val="000000"/>
          <w:sz w:val="24"/>
          <w:szCs w:val="24"/>
        </w:rPr>
        <w:t>15. Підставою для списання матеріальних цінностей з матеріального резерву може бути службова записка, звіти про використання, акт приймання-передачі запасів,</w:t>
      </w:r>
      <w:r>
        <w:rPr>
          <w:color w:val="000000"/>
          <w:sz w:val="24"/>
          <w:szCs w:val="24"/>
        </w:rPr>
        <w:t xml:space="preserve"> </w:t>
      </w:r>
      <w:r>
        <w:rPr>
          <w:rStyle w:val="Style15"/>
          <w:color w:val="000000"/>
          <w:sz w:val="24"/>
          <w:szCs w:val="24"/>
        </w:rPr>
        <w:t>акт приймання-передачі основних засобів, протокол, рішення, фото/відео фіксація використання матеріальних цінностей та ін.</w:t>
      </w:r>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16. Виділення/передача/повернення матеріальних цінностей призначених для використання на «Пункті незламності» здійснюється за рішенням виконавчого комітету Покровської міської ради Дніпропетровської області.</w:t>
      </w:r>
    </w:p>
    <w:p>
      <w:pPr>
        <w:pStyle w:val="Rvps2"/>
        <w:shd w:val="clear" w:fill="FFFFFF"/>
        <w:suppressAutoHyphens w:val="true"/>
        <w:spacing w:lineRule="auto" w:line="240" w:before="0" w:after="0"/>
        <w:ind w:left="0" w:right="0" w:firstLine="450"/>
        <w:jc w:val="both"/>
        <w:rPr/>
      </w:pPr>
      <w:r>
        <w:rPr>
          <w:rStyle w:val="Style15"/>
          <w:color w:val="000000"/>
          <w:sz w:val="24"/>
          <w:szCs w:val="24"/>
        </w:rPr>
        <w:t>17. Підставою для списання матеріальних цінностей призначених для використання на «Пункті незламності» може бути службова записка, звіт про використання, акт приймання-передачі запасів, акт приймання-передачі основних засобів, протокол, рішення, фото/відео фіксація використання матеріальних цінностей та ін.</w:t>
      </w:r>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18. Оприбуткування на баланс виконавчого комітету Покровської міської ради Дніпропетровської області, оцінка та передача отриманої гуманітарної/благодійної допомоги здійснюється постійно діючою комісією по оцінці, оприбуткуванню та передачі отриманої гуманітарної/благодійної допомоги виконавчим комітетом Покровської міської ради Дніпропетровської області, яка затверджується розпорядженням міського голови.</w:t>
      </w:r>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19. Порядок, передачі, розподілу та контроль за цільовим використанням гуманітарної/благодійної допомоги наданої Покровській міській територіальній громаді, затверджується рішенням виконавчого комітету Покровської міської ради Дніпропетровської області.</w:t>
      </w:r>
    </w:p>
    <w:p>
      <w:pPr>
        <w:pStyle w:val="Rvps2"/>
        <w:shd w:val="clear" w:fill="FFFFFF"/>
        <w:suppressAutoHyphens w:val="true"/>
        <w:spacing w:lineRule="auto" w:line="240" w:before="0" w:after="0"/>
        <w:ind w:left="0" w:right="0" w:firstLine="450"/>
        <w:jc w:val="both"/>
        <w:rPr/>
      </w:pPr>
      <w:r>
        <w:rPr>
          <w:rStyle w:val="Style15"/>
          <w:color w:val="000000"/>
          <w:sz w:val="24"/>
          <w:szCs w:val="24"/>
        </w:rPr>
        <w:t>20. Підставою для списання безкоштовно отриманих матеріальних цінностей може бути</w:t>
      </w:r>
      <w:r>
        <w:rPr>
          <w:color w:val="000000"/>
          <w:sz w:val="24"/>
          <w:szCs w:val="24"/>
        </w:rPr>
        <w:t xml:space="preserve"> </w:t>
      </w:r>
      <w:r>
        <w:rPr>
          <w:rStyle w:val="Style15"/>
          <w:color w:val="000000"/>
          <w:sz w:val="24"/>
          <w:szCs w:val="24"/>
        </w:rPr>
        <w:t>службова записка, звіти про використання, акт приймання-передачі запасів, акт приймання-передачі основних засобів, протокол, рішення, фото/відео фіксація використання матеріальних цінностей та ін.</w:t>
      </w:r>
    </w:p>
    <w:p>
      <w:pPr>
        <w:pStyle w:val="Rvps2"/>
        <w:shd w:val="clear" w:fill="FFFFFF"/>
        <w:suppressAutoHyphens w:val="true"/>
        <w:spacing w:lineRule="auto" w:line="240" w:before="0" w:after="0"/>
        <w:ind w:left="0" w:right="0" w:firstLine="450"/>
        <w:jc w:val="both"/>
        <w:rPr/>
      </w:pPr>
      <w:r>
        <w:rPr>
          <w:rStyle w:val="Style15"/>
          <w:color w:val="000000"/>
          <w:sz w:val="24"/>
          <w:szCs w:val="24"/>
        </w:rPr>
        <w:t>21. Бухгалтерський облік всіх господарських операцій здійснюється в грошо</w:t>
      </w:r>
      <w:r>
        <w:rPr>
          <w:rStyle w:val="Style15"/>
          <w:color w:val="000000"/>
          <w:sz w:val="24"/>
          <w:szCs w:val="24"/>
          <w:shd w:fill="auto" w:val="clear"/>
        </w:rPr>
        <w:t>вій одиниці України – гривні в хронологічному порядку за меморіально-ордерною формою обліку господарських операцій в облікових регістрах із забезпеченням їх збереження на паперовому вигляді та за формами меморіальних ордерів, затверджених наказом Міністерства фінансів України від 08.09.2017 № 755,  за загальним та спеціальним фо</w:t>
      </w:r>
      <w:r>
        <w:rPr>
          <w:rStyle w:val="Style15"/>
          <w:color w:val="000000"/>
          <w:sz w:val="24"/>
          <w:szCs w:val="24"/>
        </w:rPr>
        <w:t xml:space="preserve">ндами бюджету окремо, в розрізі кодів програмної та економічної класифікації видатків міського бюджету, реєстраційних рахунків та ін..  </w:t>
      </w:r>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22. Для деталізації обліку грошових коштів, матеріальних цінностей, грошових документів, розрахунків субрахунки деталізуються залежно від джерел надходжень/асигнувань та робочому плану рахунків бухгалтерського обліку в установі (кодів програмної класифікації видатків) (додаток 2).</w:t>
      </w:r>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23. Порядок створення, подання і відображення первинних документів здійснюється відповідно до вимог Положення про документальне забезпечення записів у бухгалтерському обліку, затвердженого наказом Міністерства фінансів України   від 24.05.1995 № 88, та згідно з Графіком документообігу затвердженим розпорядженням міського голови.</w:t>
      </w:r>
    </w:p>
    <w:p>
      <w:pPr>
        <w:pStyle w:val="Rvps2"/>
        <w:shd w:val="clear" w:fill="FFFFFF"/>
        <w:suppressAutoHyphens w:val="true"/>
        <w:spacing w:lineRule="auto" w:line="240" w:before="0" w:after="0"/>
        <w:ind w:left="0" w:right="0" w:firstLine="450"/>
        <w:jc w:val="both"/>
        <w:rPr>
          <w:color w:val="000000"/>
          <w:sz w:val="24"/>
          <w:szCs w:val="24"/>
        </w:rPr>
      </w:pPr>
      <w:r>
        <w:rPr>
          <w:color w:val="000000"/>
          <w:sz w:val="24"/>
          <w:szCs w:val="24"/>
        </w:rPr>
        <w:t>24. Бухгалтерський облік усіх господарських операцій, пов’язаних з виконанням кошторисів здійснювати у хронологічному порядку за меморіально-ордерною формою обліку з використанням комп’ютерної програми  «АІС «Місцеві бюджети рівня розпорядника бюджетних коштів»</w:t>
      </w:r>
    </w:p>
    <w:p>
      <w:pPr>
        <w:pStyle w:val="Rvps2"/>
        <w:shd w:val="clear" w:fill="FFFFFF"/>
        <w:suppressAutoHyphens w:val="true"/>
        <w:spacing w:lineRule="auto" w:line="240" w:before="0" w:after="0"/>
        <w:ind w:left="0" w:right="0" w:firstLine="450"/>
        <w:jc w:val="both"/>
        <w:rPr/>
      </w:pPr>
      <w:r>
        <w:rPr>
          <w:rStyle w:val="Style15"/>
          <w:color w:val="000000"/>
          <w:sz w:val="24"/>
          <w:szCs w:val="24"/>
        </w:rPr>
        <w:t xml:space="preserve">25. Зміни до цього Положення вносяться лише у випадках, установлених у національних положеннях (стандартах) бухгалтерського обліку в державному секторі, а також у випадках, коли зміни до облікової політики сприятимуть більш достовірному відображенню в бухгалтерському обліку інформації про здійснені господарські операції. </w:t>
      </w:r>
    </w:p>
    <w:p>
      <w:pPr>
        <w:pStyle w:val="Normal"/>
        <w:suppressAutoHyphens w:val="true"/>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bookmarkStart w:id="7" w:name="n708"/>
      <w:bookmarkStart w:id="8" w:name="n708"/>
      <w:bookmarkEnd w:id="8"/>
    </w:p>
    <w:p>
      <w:pPr>
        <w:pStyle w:val="Normal"/>
        <w:suppressAutoHyphens w:val="true"/>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suppressAutoHyphens w:val="true"/>
        <w:spacing w:lineRule="auto" w:line="240" w:before="0" w:after="0"/>
        <w:jc w:val="both"/>
        <w:rPr>
          <w:rFonts w:ascii="Times New Roman" w:hAnsi="Times New Roman"/>
          <w:b/>
          <w:b/>
          <w:color w:val="000000"/>
          <w:sz w:val="24"/>
          <w:szCs w:val="24"/>
          <w:lang w:val="uk-UA"/>
        </w:rPr>
      </w:pPr>
      <w:r>
        <w:rPr>
          <w:rFonts w:ascii="Times New Roman" w:hAnsi="Times New Roman"/>
          <w:b/>
          <w:color w:val="000000"/>
          <w:sz w:val="24"/>
          <w:szCs w:val="24"/>
          <w:lang w:val="uk-UA"/>
        </w:rPr>
      </w:r>
    </w:p>
    <w:p>
      <w:pPr>
        <w:pStyle w:val="Normal"/>
        <w:suppressAutoHyphens w:val="true"/>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Начальник відділу бухгалтерського </w:t>
      </w:r>
    </w:p>
    <w:p>
      <w:pPr>
        <w:pStyle w:val="Normal"/>
        <w:suppressAutoHyphens w:val="true"/>
        <w:spacing w:lineRule="auto" w:line="240" w:before="0" w:after="0"/>
        <w:jc w:val="both"/>
        <w:rPr/>
      </w:pPr>
      <w:r>
        <w:rPr>
          <w:rFonts w:ascii="Times New Roman" w:hAnsi="Times New Roman"/>
          <w:color w:val="000000"/>
          <w:sz w:val="24"/>
          <w:szCs w:val="24"/>
          <w:lang w:val="uk-UA"/>
        </w:rPr>
        <w:t>обліку -</w:t>
      </w:r>
      <w:r>
        <w:rPr>
          <w:rStyle w:val="Style15"/>
          <w:rFonts w:ascii="Times New Roman" w:hAnsi="Times New Roman"/>
          <w:color w:val="000000"/>
          <w:sz w:val="24"/>
          <w:szCs w:val="24"/>
          <w:lang w:val="uk-UA"/>
        </w:rPr>
        <w:t>головний бухгалтер</w:t>
        <w:tab/>
        <w:tab/>
        <w:tab/>
        <w:tab/>
        <w:tab/>
        <w:t xml:space="preserve"> </w:t>
        <w:tab/>
        <w:tab/>
        <w:t xml:space="preserve">     Євген МОРОЗ</w:t>
        <w:tab/>
        <w:tab/>
        <w:tab/>
      </w:r>
    </w:p>
    <w:sectPr>
      <w:type w:val="nextPage"/>
      <w:pgSz w:w="12240" w:h="15840"/>
      <w:pgMar w:left="1701" w:right="567"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e576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ac117e"/>
    <w:rPr>
      <w:rFonts w:ascii="Segoe UI" w:hAnsi="Segoe UI" w:cs="Segoe UI"/>
      <w:sz w:val="18"/>
      <w:szCs w:val="18"/>
      <w:lang w:val="uk-UA"/>
    </w:rPr>
  </w:style>
  <w:style w:type="character" w:styleId="1" w:customStyle="1">
    <w:name w:val="Гиперссылка1"/>
    <w:qFormat/>
    <w:rPr>
      <w:color w:val="000080"/>
      <w:u w:val="single"/>
    </w:rPr>
  </w:style>
  <w:style w:type="character" w:styleId="Style15">
    <w:name w:val="Основной шрифт абзаца"/>
    <w:qFormat/>
    <w:rPr/>
  </w:style>
  <w:style w:type="paragraph" w:styleId="Style16" w:customStyle="1">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Arial"/>
      <w:i/>
      <w:iCs/>
      <w:sz w:val="24"/>
      <w:szCs w:val="24"/>
    </w:rPr>
  </w:style>
  <w:style w:type="paragraph" w:styleId="Style20" w:customStyle="1">
    <w:name w:val="Покажчик"/>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BalloonText">
    <w:name w:val="Balloon Text"/>
    <w:basedOn w:val="Normal"/>
    <w:uiPriority w:val="99"/>
    <w:semiHidden/>
    <w:unhideWhenUsed/>
    <w:qFormat/>
    <w:rsid w:val="00ac117e"/>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91e48"/>
    <w:pPr>
      <w:spacing w:before="0" w:after="160"/>
      <w:ind w:left="720" w:hanging="0"/>
      <w:contextualSpacing/>
    </w:pPr>
    <w:rPr/>
  </w:style>
  <w:style w:type="paragraph" w:styleId="Style21" w:customStyle="1">
    <w:name w:val="Вміст рамки"/>
    <w:basedOn w:val="Normal"/>
    <w:qFormat/>
    <w:pPr/>
    <w:rPr/>
  </w:style>
  <w:style w:type="paragraph" w:styleId="BodyText2">
    <w:name w:val="Body Text 2"/>
    <w:qFormat/>
    <w:pPr>
      <w:widowControl w:val="false"/>
      <w:suppressAutoHyphens w:val="true"/>
      <w:bidi w:val="0"/>
      <w:spacing w:lineRule="auto" w:line="480" w:before="0" w:after="120"/>
      <w:jc w:val="left"/>
    </w:pPr>
    <w:rPr>
      <w:rFonts w:ascii="Times New Roman" w:hAnsi="Times New Roman" w:eastAsia="MS Mincho" w:cs="Times New Roman"/>
      <w:color w:val="auto"/>
      <w:kern w:val="0"/>
      <w:sz w:val="20"/>
      <w:szCs w:val="20"/>
      <w:lang w:val="ru-RU" w:eastAsia="ru-RU" w:bidi="ar-SA"/>
    </w:rPr>
  </w:style>
  <w:style w:type="paragraph" w:styleId="Style22">
    <w:name w:val="Обычный"/>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0"/>
      <w:szCs w:val="22"/>
      <w:lang w:val="en-US" w:eastAsia="en-US" w:bidi="ar-SA"/>
    </w:rPr>
  </w:style>
  <w:style w:type="paragraph" w:styleId="Rvps2">
    <w:name w:val="rvps2"/>
    <w:basedOn w:val="Style22"/>
    <w:qFormat/>
    <w:pPr>
      <w:suppressAutoHyphens w:val="false"/>
      <w:spacing w:before="100" w:after="100"/>
      <w:textAlignment w:val="auto"/>
    </w:pPr>
    <w:rPr>
      <w:rFonts w:ascii="Times New Roman" w:hAnsi="Times New Roman" w:eastAsia="Times New Roman" w:cs="Times New Roman"/>
      <w:kern w:val="0"/>
      <w:lang w:val="uk-UA" w:eastAsia="uk-UA"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rsid w:val="00ce6b3f"/>
    <w:pPr>
      <w:spacing w:after="200" w:line="276" w:lineRule="auto"/>
    </w:pPr>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a1"/>
    <w:rsid w:val="00793825"/>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84F82-6DAA-4D3A-A018-133CA2C5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TotalTime>
  <Application>LibreOffice/7.4.3.2$Windows_X86_64 LibreOffice_project/1048a8393ae2eeec98dff31b5c133c5f1d08b890</Application>
  <AppVersion>15.0000</AppVersion>
  <Pages>4</Pages>
  <Words>1063</Words>
  <Characters>8272</Characters>
  <CharactersWithSpaces>9687</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2020-07-13T09:47:00Z</dcterms:created>
  <dc:creator>Sivers, Robert</dc:creator>
  <dc:description/>
  <dc:language>uk-UA</dc:language>
  <cp:lastModifiedBy/>
  <cp:lastPrinted>2024-02-08T08:38:00Z</cp:lastPrinted>
  <dcterms:modified xsi:type="dcterms:W3CDTF">2026-03-19T11:21:50Z</dcterms:modified>
  <cp:revision>102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