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2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3175" distL="114935" distR="114935" simplePos="0" locked="0" layoutInCell="0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-466725</wp:posOffset>
            </wp:positionV>
            <wp:extent cx="415925" cy="59626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21"/>
        <w:bidi w:val="0"/>
        <w:spacing w:before="0" w:after="83"/>
        <w:jc w:val="left"/>
        <w:rPr/>
      </w:pPr>
      <w:r>
        <w:rPr>
          <w:rFonts w:ascii="Times New Roman" w:hAnsi="Times New Roman"/>
          <w:sz w:val="28"/>
          <w:szCs w:val="28"/>
        </w:rPr>
        <w:t>23.12.2021 р.</w:t>
      </w:r>
      <w:r>
        <w:rPr/>
        <w:t xml:space="preserve">                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м.Покров    </w:t>
      </w:r>
      <w:r>
        <w:rPr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№ 584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Про включення до Переліку першого типу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вбудованого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9,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shd w:fill="FFFF00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ПМКП “ЖИТЛКОМСЕРВІС”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22.12.2021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“ProZorro.Продажі”, про включення потенційного об’єкта оренди “вбудоване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нежитлове приміщення, 94,2 кв.м.,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9, 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до Переліку першого типу та наказ від 22.12.2021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39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що прийняті за результатами розгляду заяви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Дніпропетровської дирекції АТ "Укрпошта"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21.12.2021 року через ЕТС “ProZorro.Продажі”,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3">
        <w:r>
          <w:rPr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8F8F8" w:val="clear"/>
            <w:lang w:val="zxx" w:eastAsia="ru-RU" w:bidi="zxx"/>
          </w:rPr>
          <w:t>RGLR001-UA-20211221-83067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Включити до Переліку першого типу об’єкт комунальної власності Покровської міської територіальної громади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94,2 кв.м., розташоване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вул.Київська, 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67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  <w:t>Міський голова                        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character" w:styleId="Style15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character" w:styleId="Style18">
    <w:name w:val="Номер сторінки"/>
    <w:qFormat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7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Style28"/>
    <w:pPr>
      <w:suppressLineNumbers/>
    </w:pPr>
    <w:rPr/>
  </w:style>
  <w:style w:type="paragraph" w:styleId="Style31">
    <w:name w:val="Footer"/>
    <w:basedOn w:val="Style28"/>
    <w:pPr>
      <w:suppressLineNumbers/>
    </w:pPr>
    <w:rPr/>
  </w:style>
  <w:style w:type="paragraph" w:styleId="Style3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paren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LibreOffice/7.1.5.2$Linux_X86_64 LibreOffice_project/10$Build-2</Application>
  <AppVersion>15.0000</AppVersion>
  <Pages>1</Pages>
  <Words>164</Words>
  <Characters>1186</Characters>
  <CharactersWithSpaces>1548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2021-12-30T15:03:49Z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