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5657215</wp:posOffset>
                </wp:positionH>
                <wp:positionV relativeFrom="paragraph">
                  <wp:posOffset>-182880</wp:posOffset>
                </wp:positionV>
                <wp:extent cx="753110" cy="2006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5.45pt;margin-top:-14.4pt;width:59.2pt;height:15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-288290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  <w:sz w:val="6"/>
          <w:szCs w:val="6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неповнолітньому сину,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ХХХХХХ); паспорт громадянина України, документ № ХХХХХХ, запис № ХХХХХХ, дійсний до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Неповнолітній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,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 №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),  фактично проживає за адресою: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 xml:space="preserve"> №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6"/>
          <w:szCs w:val="6"/>
        </w:rPr>
      </w:pPr>
      <w:r>
        <w:rPr>
          <w:rFonts w:cs="Times New Roman" w:ascii="Times New Roman" w:hAnsi="Times New Roman"/>
          <w:bCs/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709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LibreOffice/6.1.4.2$Windows_x86 LibreOffice_project/9d0f32d1f0b509096fd65e0d4bec26ddd1938fd3</Application>
  <Pages>1</Pages>
  <Words>265</Words>
  <Characters>1853</Characters>
  <CharactersWithSpaces>2269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2023-12-06T13:19:08Z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