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32"/>
          <w:szCs w:val="32"/>
          <w:u w:val="none"/>
          <w:em w:val="none"/>
        </w:rPr>
        <w:t>Алгоритм отримання паспортів прив’язки тимчасових споруд</w:t>
      </w:r>
    </w:p>
    <w:p>
      <w:pPr>
        <w:pStyle w:val="Normal"/>
        <w:spacing w:lineRule="atLeast" w:line="283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Підставою для розміщення тимчасової споруди (ТС) є 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паспорт прив’язки</w:t>
      </w:r>
      <w:r>
        <w:rPr>
          <w:rFonts w:cs="Times New Roman" w:ascii="Times New Roman" w:hAnsi="Times New Roman"/>
          <w:b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 –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комплект документів, у яких визначено місце встановлення ТС та благоустрій прилеглої території на топографо-геодезичній основі М 1 : 500, інженерне забезпечення, зовнішній архітектурний вигляд ТС та сфера підприємницької діяльності.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</w:t>
      </w:r>
    </w:p>
    <w:p>
      <w:pPr>
        <w:pStyle w:val="BodyText"/>
        <w:spacing w:lineRule="atLeast" w:line="283"/>
        <w:jc w:val="both"/>
        <w:rPr/>
      </w:pP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Для розміщення ТС та отримання паспорта прив’язки  необхідно: 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1.1.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Звернутися до центру надання адміністративних послуг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(ЦНАП)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 виконавчого комітету Покровської міської ради міста Покров Нікопольського району Дніпропетровської області вул. Центральна, 48 із відповідною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заявою у довільній формі про можливість розміщення ТС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.</w:t>
      </w:r>
    </w:p>
    <w:p>
      <w:pPr>
        <w:pStyle w:val="BodyText"/>
        <w:widowControl/>
        <w:numPr>
          <w:ilvl w:val="0"/>
          <w:numId w:val="0"/>
        </w:numPr>
        <w:tabs>
          <w:tab w:val="clear" w:pos="708"/>
          <w:tab w:val="left" w:pos="3396" w:leader="none"/>
        </w:tabs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1.2.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До заяви додаються: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Style w:val="Emphasis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 графічні матеріали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 із зазначенням бажаного місця розташування ТС, виконані замовником у довільній формі на топографо-геодезичній основі М 1 : 500 кресленнями контурів ТС з прив’язкою до місцевості;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Style w:val="Emphasis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 реквізити замовника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 (найменування/прізвище, ім’я та по батькові (за наявності)/місцезнаходження ТС/контактна інформація) та напрям підприємницької діяльності.</w:t>
      </w:r>
    </w:p>
    <w:p>
      <w:pPr>
        <w:pStyle w:val="Normal"/>
        <w:numPr>
          <w:ilvl w:val="0"/>
          <w:numId w:val="0"/>
        </w:numPr>
        <w:spacing w:lineRule="atLeast" w:line="283"/>
        <w:ind w:hanging="0" w:start="-284" w:end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Цей перелік документів є вичерпним.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1.3.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Про відповідність намірів замовника щодо місця розташування ТС містобудівній документації, будівельним нормам замовник повідомляється відділом архітектури та інспекції державного архітектурно-будівельного контролю (ДАБК) письмово протягом 10 робочих днів з дня подання зазначеної заяви – або замовнику надається аргументована відмова щодо реалізації намірів розміщення ТС.</w:t>
      </w:r>
    </w:p>
    <w:p>
      <w:pPr>
        <w:pStyle w:val="BodyText"/>
        <w:spacing w:lineRule="atLeast" w: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1.4. </w:t>
      </w:r>
      <w:r>
        <w:rPr>
          <w:rFonts w:ascii="Times New Roman" w:hAnsi="Times New Roman"/>
          <w:sz w:val="28"/>
          <w:szCs w:val="28"/>
        </w:rPr>
        <w:t>Для оформлення паспорта прив’язки замовник звертається до ЦНАПу виконавчого комітету Покровської міської ради із додатковою заявою щодо оформлення паспорта прив'язки ТС, до якої додає: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color w:val="00000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 схему розміщення ТС;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 ескізи фасадів ТС у кольорі М 1: 50 (для стаціонарних ТС), які виготовляє відповідний виконавець, що має кваліфікаційний сертифікат, або архітектор, який має відповідний кваліфікаційний сертифікат;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- схему благоустрою прилеглої території, складену замовником або відповідним виконавцем, що має кваліфікаційний сертифікат архітектора або інженера-проектувальника, відповідно до Закону України «Про благоустрій населених пунктів України» </w:t>
      </w:r>
    </w:p>
    <w:p>
      <w:pPr>
        <w:pStyle w:val="BodyText"/>
        <w:widowControl/>
        <w:numPr>
          <w:ilvl w:val="0"/>
          <w:numId w:val="0"/>
        </w:numPr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- технічні умови щодо інженерного забезпечення (за наявності), отримані замовником у балансоутримувача відповідних інженерних мереж.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Зазначені документи замовник отримує самостійно. 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1.5. </w:t>
      </w:r>
      <w:r>
        <w:rPr>
          <w:rStyle w:val="Strong"/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Паспорт прив’язки ТС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 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оформлюється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відділом архітектури та інспекції ДАБК протягом 10 робочих днів з дня подання зазначеної заяви та передається в ЦНАП для видачі замовнику.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1.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6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.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Паспорт прив’язки ТС видається на безоплатній основі та підлягає реєстрації в журналі реєстрації паспортів прив’язки або в електронному журналі органом, який його видав, з подальшим внесенням інформації про ТС до містобудівного кадастру. 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</w:pP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1.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7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. Строк дії паспорта прив'язки визначається відділом архітектури та інспекції ДАБК з урахуванням строків погодження місця для розміщення ТС. 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val="uk-UA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8"/>
          <w:szCs w:val="28"/>
          <w:lang w:val="uk-UA"/>
        </w:rPr>
        <w:t>1.8. Встановлення ТС здійснюється відповідно до паспорта прив'язки з          обов´язковим благоустрієм навколо ТС. Відхилення від паспорта прив'язки ТС не допускається.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FF0000"/>
          <w:spacing w:val="0"/>
          <w:sz w:val="28"/>
          <w:szCs w:val="28"/>
          <w:lang w:val="uk-UA"/>
        </w:rPr>
        <w:t xml:space="preserve"> </w:t>
      </w:r>
    </w:p>
    <w:p>
      <w:pPr>
        <w:pStyle w:val="BodyText"/>
        <w:widowControl/>
        <w:spacing w:lineRule="atLeast" w:line="283" w:before="0" w:after="0"/>
        <w:ind w:hanging="0" w:start="0" w:end="0"/>
        <w:jc w:val="both"/>
        <w:rPr/>
      </w:pPr>
      <w:r>
        <w:rPr>
          <w:rStyle w:val="Strong"/>
          <w:rFonts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 xml:space="preserve">1.9. Після розміщення ТС замовник подає до відділу архітектури та інспекції ДАБК виконавчого комітету Покровської міської ради письмову заяву у якій зазначає, що він виконав вимоги паспорта прив'язки. </w:t>
      </w:r>
    </w:p>
    <w:p>
      <w:pPr>
        <w:pStyle w:val="Normal"/>
        <w:spacing w:lineRule="atLeast" w: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200"/>
        <w:jc w:val="both"/>
        <w:rPr>
          <w:rFonts w:cs="Times New Roman"/>
        </w:rPr>
      </w:pPr>
      <w:r>
        <w:rPr>
          <w:rFonts w:cs="Times New Roman"/>
        </w:rPr>
      </w:r>
      <w:bookmarkStart w:id="0" w:name="_GoBack"/>
      <w:bookmarkEnd w:id="0"/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OpenSymbol">
    <w:altName w:val="Arial Unicode MS"/>
    <w:charset w:val="02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965d2f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b3947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user">
    <w:name w:val="Символ нумерації (user)"/>
    <w:qFormat/>
    <w:rPr/>
  </w:style>
  <w:style w:type="character" w:styleId="user1">
    <w:name w:val="Маркери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 Unicode M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3">
    <w:name w:val="Покажчик (user)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5e1817"/>
    <w:pPr>
      <w:spacing w:before="0" w:after="200"/>
      <w:ind w:star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b39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user4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LibreOffice/26.2.4.2$Windows_X86_64 LibreOffice_project/0229ac93fcf0d7cbc6376066c6f35021cef002dc</Application>
  <AppVersion>15.0000</AppVersion>
  <Pages>2</Pages>
  <Words>409</Words>
  <Characters>2836</Characters>
  <CharactersWithSpaces>3249</CharactersWithSpaces>
  <Paragraphs>20</Paragraphs>
  <Company>UralSOFT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2020-04-06T11:01:00Z</dcterms:created>
  <dc:creator>digital_PC</dc:creator>
  <dc:description/>
  <dc:language>uk-UA</dc:language>
  <cp:lastModifiedBy/>
  <cp:lastPrinted>2020-04-06T12:30:00Z</cp:lastPrinted>
  <dcterms:modified xsi:type="dcterms:W3CDTF">2026-07-07T15:21:22Z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