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hd w:val="clear" w:color="auto" w:fill="FFFFFF"/>
        <w:spacing w:lineRule="auto" w:line="240" w:before="0" w:after="150"/>
        <w:jc w:val="center"/>
        <w:rPr>
          <w:rFonts w:ascii="Times New Roman" w:hAnsi="Times New Roman"/>
          <w:color w:val="auto"/>
          <w:sz w:val="28"/>
          <w:szCs w:val="28"/>
          <w:lang w:val="ru-RU"/>
        </w:rPr>
      </w:pPr>
      <w:r>
        <w:rPr>
          <w:rStyle w:val="Style14"/>
          <w:rFonts w:eastAsia="Times New Roman" w:cs="Arial" w:ascii="Times New Roman" w:hAnsi="Times New Roman"/>
          <w:color w:val="auto"/>
          <w:sz w:val="28"/>
          <w:szCs w:val="28"/>
          <w:lang w:val="uk-UA"/>
        </w:rPr>
        <w:t>Інформація відділу землекористування Покровської міської  ради про проведення конкурсу</w:t>
      </w:r>
      <w:r>
        <w:rPr>
          <w:rFonts w:eastAsia="Times New Roman" w:cs="Arial" w:ascii="Times New Roman" w:hAnsi="Times New Roman"/>
          <w:bCs/>
          <w:color w:val="auto"/>
          <w:sz w:val="28"/>
          <w:szCs w:val="28"/>
          <w:lang w:val="uk-UA"/>
        </w:rPr>
        <w:t xml:space="preserve">  </w:t>
      </w:r>
      <w:r>
        <w:rPr>
          <w:rStyle w:val="Style14"/>
          <w:rFonts w:eastAsia="Times New Roman" w:cs="Arial" w:ascii="Times New Roman" w:hAnsi="Times New Roman"/>
          <w:color w:val="auto"/>
          <w:sz w:val="28"/>
          <w:szCs w:val="28"/>
          <w:lang w:val="uk-UA"/>
        </w:rPr>
        <w:t>з відбору виконавця земельних торгів з продажу земельних ділянок (або прав оренди на них)</w:t>
      </w:r>
    </w:p>
    <w:p>
      <w:pPr>
        <w:pStyle w:val="Normal"/>
        <w:shd w:val="clear" w:color="auto" w:fill="FFFFFF"/>
        <w:spacing w:lineRule="auto" w:line="240" w:before="0" w:after="150"/>
        <w:jc w:val="both"/>
        <w:rPr>
          <w:rFonts w:ascii="Arial" w:hAnsi="Arial" w:eastAsia="Times New Roman" w:cs="Arial"/>
          <w:color w:val="auto"/>
          <w:sz w:val="21"/>
          <w:szCs w:val="21"/>
          <w:lang w:val="ru-RU"/>
        </w:rPr>
      </w:pPr>
      <w:r>
        <w:rPr>
          <w:rFonts w:eastAsia="Times New Roman" w:cs="Arial" w:ascii="Times New Roman" w:hAnsi="Times New Roman"/>
          <w:b/>
          <w:bCs/>
          <w:color w:val="auto"/>
          <w:sz w:val="28"/>
          <w:szCs w:val="28"/>
          <w:lang w:val="uk-UA"/>
        </w:rPr>
        <w:t>1. Мета проведення робіт:</w:t>
      </w:r>
      <w:r>
        <w:rPr>
          <w:rFonts w:eastAsia="Times New Roman" w:cs="Arial" w:ascii="Times New Roman" w:hAnsi="Times New Roman"/>
          <w:color w:val="auto"/>
          <w:sz w:val="28"/>
          <w:szCs w:val="28"/>
          <w:lang w:val="uk-UA"/>
        </w:rPr>
        <w:t> підготовка лота до продажу та проведення земельних торгів з продажу земельної ділянки комунальної власності (або прав оренди на неї).</w:t>
      </w:r>
    </w:p>
    <w:p>
      <w:pPr>
        <w:pStyle w:val="Normal"/>
        <w:shd w:val="clear" w:color="auto" w:fill="FFFFFF"/>
        <w:spacing w:lineRule="auto" w:line="240" w:before="0" w:after="150"/>
        <w:jc w:val="both"/>
        <w:rPr>
          <w:rFonts w:ascii="Arial" w:hAnsi="Arial" w:eastAsia="Times New Roman" w:cs="Arial"/>
          <w:color w:val="auto"/>
          <w:sz w:val="21"/>
          <w:szCs w:val="21"/>
          <w:lang w:val="uk-UA"/>
        </w:rPr>
      </w:pPr>
      <w:r>
        <w:rPr>
          <w:rFonts w:eastAsia="Times New Roman" w:cs="Arial" w:ascii="Times New Roman" w:hAnsi="Times New Roman"/>
          <w:b/>
          <w:bCs/>
          <w:color w:val="auto"/>
          <w:sz w:val="28"/>
          <w:szCs w:val="28"/>
          <w:lang w:val="uk-UA"/>
        </w:rPr>
        <w:t xml:space="preserve">2. Дані про земельні ділянки: земельна ділянка </w:t>
      </w:r>
      <w:r>
        <w:rPr>
          <w:rFonts w:cs="Times New Roman" w:ascii="Times New Roman" w:hAnsi="Times New Roman"/>
          <w:color w:val="auto"/>
          <w:sz w:val="28"/>
          <w:szCs w:val="28"/>
          <w:lang w:val="uk-UA"/>
        </w:rPr>
        <w:t>орієнтовною площею 0,01 га, цільове призначення земельної ділянки згідно КВЦПЗ</w:t>
      </w:r>
      <w:r>
        <w:rPr>
          <w:rFonts w:cs="Times New Roman" w:ascii="Times New Roman" w:hAnsi="Times New Roman"/>
          <w:color w:val="auto"/>
          <w:sz w:val="28"/>
          <w:szCs w:val="28"/>
          <w:shd w:fill="FFFFFF" w:val="clear"/>
          <w:lang w:val="uk-UA"/>
        </w:rPr>
        <w:t xml:space="preserve">: </w:t>
      </w:r>
      <w:r>
        <w:rPr>
          <w:rFonts w:cs="Times New Roman" w:ascii="Times New Roman" w:hAnsi="Times New Roman"/>
          <w:color w:val="auto"/>
          <w:sz w:val="28"/>
          <w:szCs w:val="28"/>
          <w:lang w:val="uk-UA"/>
        </w:rPr>
        <w:t xml:space="preserve">секція </w:t>
      </w:r>
      <w:r>
        <w:rPr>
          <w:rFonts w:cs="Times New Roman" w:ascii="Times New Roman" w:hAnsi="Times New Roman"/>
          <w:color w:val="auto"/>
          <w:sz w:val="28"/>
          <w:szCs w:val="28"/>
        </w:rPr>
        <w:t>B</w:t>
      </w:r>
      <w:r>
        <w:rPr>
          <w:rFonts w:cs="Times New Roman" w:ascii="Times New Roman" w:hAnsi="Times New Roman"/>
          <w:color w:val="auto"/>
          <w:sz w:val="28"/>
          <w:szCs w:val="28"/>
          <w:lang w:val="uk-UA"/>
        </w:rPr>
        <w:t xml:space="preserve"> розділ 03.07 - </w:t>
      </w:r>
      <w:r>
        <w:rPr>
          <w:rFonts w:cs="Times New Roman" w:ascii="Times New Roman" w:hAnsi="Times New Roman"/>
          <w:color w:val="auto"/>
          <w:sz w:val="28"/>
          <w:szCs w:val="28"/>
          <w:shd w:fill="FFFFFF" w:val="clear"/>
          <w:lang w:val="uk-UA"/>
        </w:rPr>
        <w:t xml:space="preserve">для будівництва та обслуговування будівель торгівлі </w:t>
      </w:r>
      <w:r>
        <w:rPr>
          <w:rFonts w:cs="Times New Roman" w:ascii="Times New Roman" w:hAnsi="Times New Roman"/>
          <w:color w:val="auto"/>
          <w:sz w:val="28"/>
          <w:szCs w:val="28"/>
          <w:lang w:val="uk-UA"/>
        </w:rPr>
        <w:t xml:space="preserve">по вул. Торговій, (в районі будинку № 60), </w:t>
      </w:r>
    </w:p>
    <w:p>
      <w:pPr>
        <w:pStyle w:val="Style19"/>
        <w:spacing w:before="0" w:after="150"/>
        <w:rPr>
          <w:color w:val="auto"/>
        </w:rPr>
      </w:pPr>
      <w:r>
        <w:rPr>
          <w:rStyle w:val="Style14"/>
          <w:rFonts w:ascii="Times New Roman" w:hAnsi="Times New Roman"/>
          <w:color w:val="auto"/>
          <w:sz w:val="28"/>
          <w:szCs w:val="28"/>
          <w:lang w:val="uk-UA"/>
        </w:rPr>
        <w:t>3. Умови конкурсу:</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Переможець повинен:</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Підготовка лотів до продажу, яку забезпечує Виконавець, включає:</w:t>
      </w:r>
    </w:p>
    <w:p>
      <w:pPr>
        <w:pStyle w:val="Style19"/>
        <w:spacing w:before="0" w:after="150"/>
        <w:ind w:left="709" w:hanging="0"/>
        <w:jc w:val="both"/>
        <w:rPr>
          <w:color w:val="auto"/>
          <w:lang w:val="ru-RU"/>
        </w:rPr>
      </w:pPr>
      <w:r>
        <w:rPr>
          <w:rFonts w:ascii="Times New Roman" w:hAnsi="Times New Roman"/>
          <w:color w:val="auto"/>
          <w:sz w:val="28"/>
          <w:szCs w:val="28"/>
          <w:lang w:val="uk-UA"/>
        </w:rPr>
        <w:t>1) розробку відповідної документації із землеустрою на земельні ділянки та її погодження у встановленому порядку (вид документації визначено у рішенні міської ради від 20.03.2020 за  № 6);</w:t>
      </w:r>
    </w:p>
    <w:p>
      <w:pPr>
        <w:pStyle w:val="Style19"/>
        <w:spacing w:before="0" w:after="150"/>
        <w:ind w:left="708" w:hanging="0"/>
        <w:jc w:val="both"/>
        <w:rPr>
          <w:rFonts w:ascii="Times New Roman" w:hAnsi="Times New Roman"/>
          <w:color w:val="auto"/>
          <w:sz w:val="28"/>
          <w:szCs w:val="28"/>
          <w:lang w:val="uk-UA"/>
        </w:rPr>
      </w:pPr>
      <w:r>
        <w:rPr>
          <w:rFonts w:ascii="Times New Roman" w:hAnsi="Times New Roman"/>
          <w:color w:val="auto"/>
          <w:sz w:val="28"/>
          <w:szCs w:val="28"/>
          <w:lang w:val="uk-UA"/>
        </w:rPr>
        <w:t>2) проведення експертної грошової оцінки земельних ділянок з виготовленням звітів (у разі продажу земельних ділянок у власність).</w:t>
      </w:r>
    </w:p>
    <w:p>
      <w:pPr>
        <w:pStyle w:val="Normal"/>
        <w:shd w:val="clear" w:color="auto" w:fill="FFFFFF"/>
        <w:spacing w:lineRule="auto" w:line="240" w:before="0" w:after="150"/>
        <w:jc w:val="both"/>
        <w:rPr>
          <w:color w:val="auto"/>
          <w:lang w:val="uk-UA"/>
        </w:rPr>
      </w:pPr>
      <w:r>
        <w:rPr>
          <w:rFonts w:eastAsia="Times New Roman" w:cs="Arial" w:ascii="Times New Roman" w:hAnsi="Times New Roman"/>
          <w:color w:val="auto"/>
          <w:sz w:val="28"/>
          <w:szCs w:val="28"/>
          <w:lang w:val="uk-UA"/>
        </w:rPr>
        <w:t xml:space="preserve">    </w:t>
      </w:r>
      <w:r>
        <w:rPr>
          <w:rFonts w:eastAsia="Times New Roman" w:cs="Arial" w:ascii="Times New Roman" w:hAnsi="Times New Roman"/>
          <w:color w:val="auto"/>
          <w:sz w:val="28"/>
          <w:szCs w:val="28"/>
          <w:lang w:val="uk-UA"/>
        </w:rPr>
        <w:t>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auto"/>
          <w:sz w:val="28"/>
          <w:szCs w:val="28"/>
          <w:lang w:val="uk-UA"/>
        </w:rPr>
        <w:t>«На конкурс з відбору виконавців послуг з виконання земельних торгів»</w:t>
      </w:r>
      <w:r>
        <w:rPr>
          <w:rFonts w:eastAsia="Times New Roman" w:cs="Arial" w:ascii="Times New Roman" w:hAnsi="Times New Roman"/>
          <w:color w:val="auto"/>
          <w:sz w:val="28"/>
          <w:szCs w:val="28"/>
          <w:lang w:val="uk-UA"/>
        </w:rPr>
        <w:t> із зазначенням земельної ділянки та дати проведення конкурсу.</w:t>
      </w:r>
    </w:p>
    <w:p>
      <w:pPr>
        <w:pStyle w:val="Normal"/>
        <w:shd w:val="clear" w:color="auto" w:fill="FFFFFF"/>
        <w:spacing w:lineRule="auto" w:line="240" w:before="0" w:after="150"/>
        <w:jc w:val="both"/>
        <w:rPr>
          <w:rFonts w:ascii="Times New Roman" w:hAnsi="Times New Roman"/>
          <w:color w:val="auto"/>
          <w:sz w:val="28"/>
          <w:szCs w:val="28"/>
          <w:lang w:val="uk-UA"/>
        </w:rPr>
      </w:pPr>
      <w:r>
        <w:rPr>
          <w:rFonts w:eastAsia="Times New Roman" w:cs="Arial" w:ascii="Times New Roman" w:hAnsi="Times New Roman"/>
          <w:color w:val="auto"/>
          <w:sz w:val="28"/>
          <w:szCs w:val="28"/>
          <w:lang w:val="uk-UA"/>
        </w:rPr>
        <w:t xml:space="preserve">    </w:t>
      </w:r>
      <w:r>
        <w:rPr>
          <w:rFonts w:eastAsia="Times New Roman" w:cs="Arial" w:ascii="Times New Roman" w:hAnsi="Times New Roman"/>
          <w:color w:val="auto"/>
          <w:sz w:val="28"/>
          <w:szCs w:val="28"/>
          <w:lang w:val="uk-UA"/>
        </w:rPr>
        <w:t>У конверті мають міститися підтвердні документи з їх описом та окремий запечатаний конверт з конкурсною пропозицією.</w:t>
      </w:r>
    </w:p>
    <w:p>
      <w:pPr>
        <w:pStyle w:val="Normal"/>
        <w:shd w:val="clear" w:color="auto" w:fill="FFFFFF"/>
        <w:spacing w:lineRule="auto" w:line="240" w:before="0" w:after="150"/>
        <w:jc w:val="both"/>
        <w:rPr>
          <w:rFonts w:ascii="Times New Roman" w:hAnsi="Times New Roman"/>
          <w:color w:val="auto"/>
          <w:sz w:val="28"/>
          <w:szCs w:val="28"/>
          <w:lang w:val="uk-UA"/>
        </w:rPr>
      </w:pPr>
      <w:r>
        <w:rPr>
          <w:rFonts w:eastAsia="Times New Roman" w:cs="Arial" w:ascii="Times New Roman" w:hAnsi="Times New Roman"/>
          <w:b/>
          <w:bCs/>
          <w:color w:val="auto"/>
          <w:sz w:val="28"/>
          <w:szCs w:val="28"/>
          <w:lang w:val="uk-UA"/>
        </w:rPr>
        <w:t>4. Перелік підтвердних документів, які подаються на конкурс з відбору виконавців :*</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копія витягу з Державного реєстру платників податку (єдиного податку);</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згода на обробку персональних даних (для претендента – фізичної особи-підприємця) згідно з додатком 2 Регламенту;</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довідка у довільній формі про наявність необхідного для розроблення документації із землеустрою технічного і технологічного забезпечення;</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копії кваліфікаційних сертифікатів інженерів-землевпорядників претендента, яких буде залучено до розробки документації із землеустрою;</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копія сертифіката суб’єкта оціночної діяльності;</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копії кваліфікаційних документів оцінювачів (та підвищення кваліфікації) з експертної грошової оцінки земельних ділянок, яких буде залучено до виконання робіт з оцінки;</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проект завдання на виконання послуг,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 а саме:</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w:t>
      </w:r>
      <w:r>
        <w:rPr>
          <w:rFonts w:ascii="Times New Roman" w:hAnsi="Times New Roman"/>
          <w:color w:val="auto"/>
          <w:sz w:val="28"/>
          <w:szCs w:val="28"/>
          <w:lang w:val="uk-UA"/>
        </w:rPr>
        <w:t>а) документація із землеустрою, погоджена у встановленому чинним законодавством порядку (1 примірник – оригінал; 3 примірники – завірені копії);</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б) документація із землеустрою в електронному вигляді на електронному носії, із зазначенням виду електронного носія;</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в) завірені копії акту встановлення та узгодження меж у 4 примірниках;</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г) завірені копії кадастрового плану у 4 примірниках;</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зобов’язання учасника щодо:</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а) оформлення результатів геодезичних робіт з використанням місцевої системи координат (Local) та системи координат УСК-2000 (USC2000) - державної геодезичної референтної системи координат УСК-2000;</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б) організації та проведення робіт щодо здійснення дій по підписанню акту встановлення та узгодження меж з суміжними користувачами без залучення Організатора;</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xml:space="preserve">    </w:t>
      </w:r>
      <w:r>
        <w:rPr>
          <w:rFonts w:ascii="Times New Roman" w:hAnsi="Times New Roman"/>
          <w:color w:val="auto"/>
          <w:sz w:val="28"/>
          <w:szCs w:val="28"/>
          <w:lang w:val="uk-UA"/>
        </w:rPr>
        <w:t>в) погодження проекту землеустрою у встановленому чинним законодавством порядку;</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w:t>
      </w:r>
      <w:r>
        <w:rPr>
          <w:rFonts w:ascii="Times New Roman" w:hAnsi="Times New Roman"/>
          <w:color w:val="auto"/>
          <w:sz w:val="28"/>
          <w:szCs w:val="28"/>
          <w:lang w:val="uk-UA"/>
        </w:rPr>
        <w:t>г) проходження державної експертизи землевпорядної документації, у добровільній формі (у разі необхідності) та надання Організатору позитивного висновку цієї експертизи;</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       </w:t>
      </w:r>
      <w:r>
        <w:rPr>
          <w:rFonts w:ascii="Times New Roman" w:hAnsi="Times New Roman"/>
          <w:color w:val="auto"/>
          <w:sz w:val="28"/>
          <w:szCs w:val="28"/>
          <w:lang w:val="uk-UA"/>
        </w:rPr>
        <w:t>ґ) здійснення рецензування звіту про експертну грошову оцінку земельної ділянки та надання Організатору позитивної рецензії.</w:t>
      </w:r>
    </w:p>
    <w:p>
      <w:pPr>
        <w:pStyle w:val="Style19"/>
        <w:spacing w:before="0" w:after="150"/>
        <w:jc w:val="both"/>
        <w:rPr>
          <w:rFonts w:ascii="Times New Roman" w:hAnsi="Times New Roman"/>
          <w:color w:val="auto"/>
          <w:sz w:val="28"/>
          <w:szCs w:val="28"/>
          <w:lang w:val="uk-UA"/>
        </w:rPr>
      </w:pPr>
      <w:r>
        <w:rPr>
          <w:rFonts w:ascii="Times New Roman" w:hAnsi="Times New Roman"/>
          <w:color w:val="auto"/>
          <w:sz w:val="28"/>
          <w:szCs w:val="28"/>
          <w:lang w:val="uk-U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19"/>
        <w:spacing w:before="0" w:after="150"/>
        <w:jc w:val="both"/>
        <w:rPr/>
      </w:pPr>
      <w:r>
        <w:rPr>
          <w:rStyle w:val="Style14"/>
          <w:rFonts w:ascii="Times New Roman" w:hAnsi="Times New Roman"/>
          <w:color w:val="000000"/>
          <w:sz w:val="28"/>
          <w:szCs w:val="28"/>
          <w:lang w:val="uk-UA"/>
        </w:rPr>
        <w:t>5. Строк подання конкурсної документації:</w:t>
      </w:r>
      <w:r>
        <w:rPr>
          <w:rFonts w:ascii="Times New Roman" w:hAnsi="Times New Roman"/>
          <w:color w:val="000000"/>
          <w:sz w:val="28"/>
          <w:szCs w:val="28"/>
          <w:lang w:val="uk-UA"/>
        </w:rPr>
        <w:t> до 16.00 год. 1</w:t>
      </w:r>
      <w:r>
        <w:rPr>
          <w:rFonts w:ascii="Times New Roman" w:hAnsi="Times New Roman"/>
          <w:color w:val="000000"/>
          <w:sz w:val="28"/>
          <w:szCs w:val="28"/>
          <w:lang w:val="uk-UA"/>
        </w:rPr>
        <w:t>6</w:t>
      </w:r>
      <w:r>
        <w:rPr>
          <w:rFonts w:ascii="Times New Roman" w:hAnsi="Times New Roman"/>
          <w:color w:val="000000"/>
          <w:sz w:val="28"/>
          <w:szCs w:val="28"/>
          <w:lang w:val="uk-UA"/>
        </w:rPr>
        <w:t>.06.2021 року (включно).</w:t>
      </w:r>
    </w:p>
    <w:p>
      <w:pPr>
        <w:pStyle w:val="Style19"/>
        <w:spacing w:before="0" w:after="150"/>
        <w:jc w:val="both"/>
        <w:rPr>
          <w:lang w:val="ru-RU"/>
        </w:rPr>
      </w:pPr>
      <w:r>
        <w:rPr>
          <w:rStyle w:val="Style14"/>
          <w:rFonts w:ascii="Times New Roman" w:hAnsi="Times New Roman"/>
          <w:color w:val="000000"/>
          <w:sz w:val="28"/>
          <w:szCs w:val="28"/>
          <w:lang w:val="uk-UA"/>
        </w:rPr>
        <w:t>6. Адреса, за якою подаються документи:</w:t>
      </w:r>
      <w:r>
        <w:rPr>
          <w:rFonts w:ascii="Times New Roman" w:hAnsi="Times New Roman"/>
          <w:color w:val="000000"/>
          <w:sz w:val="28"/>
          <w:szCs w:val="28"/>
          <w:lang w:val="uk-UA"/>
        </w:rPr>
        <w:t> 53300, м. Покров,                                       вул.Центральна, 48 каб.410</w:t>
      </w:r>
    </w:p>
    <w:p>
      <w:pPr>
        <w:pStyle w:val="Style19"/>
        <w:spacing w:before="0" w:after="150"/>
        <w:jc w:val="both"/>
        <w:rPr>
          <w:lang w:val="ru-RU"/>
        </w:rPr>
      </w:pPr>
      <w:r>
        <w:rPr>
          <w:rStyle w:val="Style14"/>
          <w:rFonts w:ascii="Times New Roman" w:hAnsi="Times New Roman"/>
          <w:color w:val="000000"/>
          <w:sz w:val="28"/>
          <w:szCs w:val="28"/>
          <w:lang w:val="uk-UA"/>
        </w:rPr>
        <w:t>7. Інформація про проведення конкурсу:</w:t>
      </w:r>
      <w:r>
        <w:rPr>
          <w:rFonts w:ascii="Times New Roman" w:hAnsi="Times New Roman"/>
          <w:color w:val="000000"/>
          <w:sz w:val="28"/>
          <w:szCs w:val="28"/>
          <w:lang w:val="uk-UA"/>
        </w:rPr>
        <w:t>  конкурс відбудеться </w:t>
      </w:r>
      <w:r>
        <w:rPr>
          <w:rFonts w:ascii="Times New Roman" w:hAnsi="Times New Roman"/>
          <w:b/>
          <w:bCs/>
          <w:color w:val="000000"/>
          <w:sz w:val="28"/>
          <w:szCs w:val="28"/>
          <w:lang w:val="uk-UA"/>
        </w:rPr>
        <w:t>25.06.2021</w:t>
      </w:r>
      <w:r>
        <w:rPr>
          <w:rStyle w:val="Style14"/>
          <w:rFonts w:ascii="Times New Roman" w:hAnsi="Times New Roman"/>
          <w:color w:val="000000"/>
          <w:sz w:val="28"/>
          <w:szCs w:val="28"/>
          <w:lang w:val="uk-UA"/>
        </w:rPr>
        <w:t xml:space="preserve"> року      о 13.00 год.</w:t>
      </w:r>
      <w:r>
        <w:rPr>
          <w:rFonts w:ascii="Times New Roman" w:hAnsi="Times New Roman"/>
          <w:color w:val="000000"/>
          <w:sz w:val="28"/>
          <w:szCs w:val="28"/>
          <w:lang w:val="uk-UA"/>
        </w:rPr>
        <w:t xml:space="preserve"> в приміщенні Покровської  міської ради за адресою:  53300, м. Покров, вул.Центральна, 48 на другому поверсі міськвиконкому </w:t>
      </w:r>
      <w:r>
        <w:rPr>
          <w:rFonts w:ascii="Times New Roman" w:hAnsi="Times New Roman"/>
          <w:color w:val="000000"/>
          <w:sz w:val="28"/>
          <w:szCs w:val="28"/>
          <w:lang w:val="uk-UA" w:eastAsia="uk-UA"/>
        </w:rPr>
        <w:t>в депутатській кімнаті.</w:t>
      </w:r>
    </w:p>
    <w:p>
      <w:pPr>
        <w:pStyle w:val="Style19"/>
        <w:shd w:val="clear" w:color="auto" w:fill="FFFFFF"/>
        <w:spacing w:lineRule="auto" w:line="240" w:before="0" w:after="0"/>
        <w:jc w:val="both"/>
        <w:rPr/>
      </w:pPr>
      <w:r>
        <w:rPr>
          <w:rStyle w:val="Style14"/>
          <w:rFonts w:eastAsia="Times New Roman" w:cs="Arial" w:ascii="Times New Roman" w:hAnsi="Times New Roman"/>
          <w:color w:val="000000"/>
          <w:sz w:val="28"/>
          <w:szCs w:val="28"/>
          <w:lang w:val="uk-UA"/>
        </w:rPr>
        <w:t xml:space="preserve">8. Відомості про місцезнаходження комісії, контактні телефони: </w:t>
      </w:r>
      <w:r>
        <w:rPr>
          <w:rStyle w:val="Style14"/>
          <w:rFonts w:eastAsia="Times New Roman" w:cs="Arial" w:ascii="Times New Roman" w:hAnsi="Times New Roman"/>
          <w:b w:val="false"/>
          <w:bCs w:val="false"/>
          <w:color w:val="000000"/>
          <w:sz w:val="28"/>
          <w:szCs w:val="28"/>
          <w:lang w:val="uk-UA"/>
        </w:rPr>
        <w:t xml:space="preserve">м. Покров, вул. Центральна, 48 телефони для довідок : (05667) 4-43-56; факс (05667) 4-17-61 </w:t>
      </w:r>
      <w:r>
        <w:rPr>
          <w:rStyle w:val="11"/>
          <w:rFonts w:eastAsia="Times New Roman" w:cs="Arial" w:ascii="Times New Roman" w:hAnsi="Times New Roman"/>
          <w:color w:val="00000A"/>
          <w:sz w:val="28"/>
          <w:szCs w:val="28"/>
        </w:rPr>
        <w:t>www</w:t>
      </w:r>
      <w:hyperlink r:id="rId2">
        <w:r>
          <w:rPr>
            <w:rStyle w:val="11"/>
            <w:rFonts w:eastAsia="Times New Roman" w:cs="Arial" w:ascii="Times New Roman" w:hAnsi="Times New Roman"/>
            <w:color w:val="00000A"/>
            <w:sz w:val="28"/>
            <w:szCs w:val="28"/>
            <w:lang w:val="ru-RU"/>
          </w:rPr>
          <w:t xml:space="preserve">. </w:t>
        </w:r>
        <w:r>
          <w:rPr>
            <w:rStyle w:val="11"/>
            <w:rFonts w:eastAsia="Times New Roman" w:cs="Arial" w:ascii="Times New Roman" w:hAnsi="Times New Roman"/>
            <w:color w:val="00000A"/>
            <w:sz w:val="28"/>
            <w:szCs w:val="28"/>
          </w:rPr>
          <w:t>pkrv</w:t>
        </w:r>
        <w:r>
          <w:rPr>
            <w:rStyle w:val="11"/>
            <w:rFonts w:eastAsia="Times New Roman" w:cs="Arial" w:ascii="Times New Roman" w:hAnsi="Times New Roman"/>
            <w:color w:val="00000A"/>
            <w:sz w:val="28"/>
            <w:szCs w:val="28"/>
            <w:lang w:val="ru-RU"/>
          </w:rPr>
          <w:t>.</w:t>
        </w:r>
        <w:r>
          <w:rPr>
            <w:rStyle w:val="11"/>
            <w:rFonts w:eastAsia="Times New Roman" w:cs="Arial" w:ascii="Times New Roman" w:hAnsi="Times New Roman"/>
            <w:color w:val="00000A"/>
            <w:sz w:val="28"/>
            <w:szCs w:val="28"/>
          </w:rPr>
          <w:t>dp</w:t>
        </w:r>
        <w:r>
          <w:rPr>
            <w:rStyle w:val="11"/>
            <w:rFonts w:eastAsia="Times New Roman" w:cs="Arial" w:ascii="Times New Roman" w:hAnsi="Times New Roman"/>
            <w:color w:val="00000A"/>
            <w:sz w:val="28"/>
            <w:szCs w:val="28"/>
            <w:lang w:val="ru-RU"/>
          </w:rPr>
          <w:t>.</w:t>
        </w:r>
        <w:r>
          <w:rPr>
            <w:rStyle w:val="11"/>
            <w:rFonts w:eastAsia="Times New Roman" w:cs="Arial" w:ascii="Times New Roman" w:hAnsi="Times New Roman"/>
            <w:color w:val="00000A"/>
            <w:sz w:val="28"/>
            <w:szCs w:val="28"/>
          </w:rPr>
          <w:t>gov</w:t>
        </w:r>
        <w:r>
          <w:rPr>
            <w:rStyle w:val="11"/>
            <w:rFonts w:eastAsia="Times New Roman" w:cs="Arial" w:ascii="Times New Roman" w:hAnsi="Times New Roman"/>
            <w:color w:val="00000A"/>
            <w:sz w:val="28"/>
            <w:szCs w:val="28"/>
            <w:lang w:val="ru-RU"/>
          </w:rPr>
          <w:t>.</w:t>
        </w:r>
        <w:r>
          <w:rPr>
            <w:rStyle w:val="11"/>
            <w:rFonts w:eastAsia="Times New Roman" w:cs="Arial" w:ascii="Times New Roman" w:hAnsi="Times New Roman"/>
            <w:color w:val="00000A"/>
            <w:sz w:val="28"/>
            <w:szCs w:val="28"/>
          </w:rPr>
          <w:t>ua</w:t>
        </w:r>
      </w:hyperlink>
      <w:r>
        <w:rPr>
          <w:rStyle w:val="Style14"/>
          <w:rFonts w:eastAsia="Times New Roman" w:cs="Arial" w:ascii="Times New Roman" w:hAnsi="Times New Roman"/>
          <w:b w:val="false"/>
          <w:bCs w:val="false"/>
          <w:color w:val="000000"/>
          <w:sz w:val="28"/>
          <w:szCs w:val="28"/>
          <w:lang w:val="ru-RU"/>
        </w:rPr>
        <w:t>,  е-</w:t>
      </w:r>
      <w:r>
        <w:rPr>
          <w:rStyle w:val="Style14"/>
          <w:rFonts w:eastAsia="Times New Roman" w:cs="Arial" w:ascii="Times New Roman" w:hAnsi="Times New Roman"/>
          <w:b w:val="false"/>
          <w:bCs w:val="false"/>
          <w:color w:val="000000"/>
          <w:sz w:val="28"/>
          <w:szCs w:val="28"/>
        </w:rPr>
        <w:t>mail</w:t>
      </w:r>
      <w:r>
        <w:rPr>
          <w:rStyle w:val="Style14"/>
          <w:rFonts w:eastAsia="Times New Roman" w:cs="Arial" w:ascii="Times New Roman" w:hAnsi="Times New Roman"/>
          <w:b w:val="false"/>
          <w:bCs w:val="false"/>
          <w:color w:val="000000"/>
          <w:sz w:val="28"/>
          <w:szCs w:val="28"/>
          <w:lang w:val="ru-RU"/>
        </w:rPr>
        <w:t>: і</w:t>
      </w:r>
      <w:r>
        <w:rPr>
          <w:rStyle w:val="Style14"/>
          <w:rFonts w:eastAsia="Times New Roman" w:cs="Arial" w:ascii="Times New Roman" w:hAnsi="Times New Roman"/>
          <w:b w:val="false"/>
          <w:bCs w:val="false"/>
          <w:color w:val="000000"/>
          <w:sz w:val="28"/>
          <w:szCs w:val="28"/>
        </w:rPr>
        <w:t>nfo</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pkrv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dp</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gov</w:t>
      </w:r>
      <w:r>
        <w:rPr>
          <w:rStyle w:val="Style14"/>
          <w:rFonts w:eastAsia="Times New Roman" w:cs="Arial" w:ascii="Times New Roman" w:hAnsi="Times New Roman"/>
          <w:b w:val="false"/>
          <w:bCs w:val="false"/>
          <w:color w:val="000000"/>
          <w:sz w:val="28"/>
          <w:szCs w:val="28"/>
          <w:lang w:val="ru-RU"/>
        </w:rPr>
        <w:t>.</w:t>
      </w:r>
      <w:r>
        <w:rPr>
          <w:rStyle w:val="Style14"/>
          <w:rFonts w:eastAsia="Times New Roman" w:cs="Arial" w:ascii="Times New Roman" w:hAnsi="Times New Roman"/>
          <w:b w:val="false"/>
          <w:bCs w:val="false"/>
          <w:color w:val="000000"/>
          <w:sz w:val="28"/>
          <w:szCs w:val="28"/>
        </w:rPr>
        <w:t>ua</w:t>
      </w:r>
      <w:r>
        <w:rPr>
          <w:rStyle w:val="Style14"/>
          <w:rFonts w:eastAsia="Times New Roman" w:cs="Arial" w:ascii="Times New Roman" w:hAnsi="Times New Roman"/>
          <w:b w:val="false"/>
          <w:bCs w:val="false"/>
          <w:color w:val="000000"/>
          <w:sz w:val="28"/>
          <w:szCs w:val="28"/>
          <w:lang w:val="ru-RU"/>
        </w:rPr>
        <w:t>,</w:t>
      </w:r>
    </w:p>
    <w:sectPr>
      <w:type w:val="nextPage"/>
      <w:pgSz w:w="12240" w:h="15840"/>
      <w:pgMar w:left="1701" w:right="850" w:header="720" w:top="480" w:footer="720" w:bottom="2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ambria">
    <w:charset w:val="01"/>
    <w:family w:val="roman"/>
    <w:pitch w:val="variable"/>
  </w:font>
  <w:font w:name="Courier New">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Виділення жирним"/>
    <w:qFormat/>
    <w:rPr>
      <w:b/>
      <w:bCs/>
    </w:rPr>
  </w:style>
  <w:style w:type="character" w:styleId="Style15" w:customStyle="1">
    <w:name w:val="Текст выноски Знак"/>
    <w:qFormat/>
    <w:rPr>
      <w:rFonts w:ascii="Segoe UI" w:hAnsi="Segoe UI" w:eastAsia="Segoe UI"/>
      <w:sz w:val="18"/>
      <w:lang w:val="ru-RU"/>
    </w:rPr>
  </w:style>
  <w:style w:type="character" w:styleId="1" w:customStyle="1">
    <w:name w:val="Заголовок 1 Знак"/>
    <w:qFormat/>
    <w:rPr>
      <w:rFonts w:ascii="Cambria" w:hAnsi="Cambria" w:eastAsia="Times New Roman"/>
      <w:b/>
      <w:kern w:val="2"/>
      <w:sz w:val="32"/>
    </w:rPr>
  </w:style>
  <w:style w:type="character" w:styleId="HTML" w:customStyle="1">
    <w:name w:val="Стандартный HTML Знак"/>
    <w:qFormat/>
    <w:rPr>
      <w:rFonts w:ascii="Courier New" w:hAnsi="Courier New" w:eastAsia="Courier New"/>
    </w:rPr>
  </w:style>
  <w:style w:type="character" w:styleId="2" w:customStyle="1">
    <w:name w:val="Знак Знак2"/>
    <w:qFormat/>
    <w:rPr>
      <w:sz w:val="28"/>
      <w:lang w:val="ru-RU"/>
    </w:rPr>
  </w:style>
  <w:style w:type="character" w:styleId="Style16" w:customStyle="1">
    <w:name w:val="Основной текст с отступом Знак"/>
    <w:qFormat/>
    <w:rPr>
      <w:sz w:val="24"/>
      <w:lang w:val="ru-RU"/>
    </w:rPr>
  </w:style>
  <w:style w:type="character" w:styleId="21" w:customStyle="1">
    <w:name w:val="Заголовок 2 Знак"/>
    <w:qFormat/>
    <w:rPr>
      <w:sz w:val="28"/>
      <w:lang w:val="ru-RU"/>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11" w:customStyle="1">
    <w:name w:val="Гіперпосилання1"/>
    <w:qFormat/>
    <w:rPr>
      <w:color w:val="000080"/>
      <w:u w:val="single"/>
    </w:rPr>
  </w:style>
  <w:style w:type="character" w:styleId="ListLabel1" w:customStyle="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2" w:customStyle="1">
    <w:name w:val="ListLabel 2"/>
    <w:qFormat/>
    <w:rPr>
      <w:rFonts w:ascii="Times New Roman" w:hAnsi="Times New Roman" w:eastAsia="Times New Roman" w:cs="Arial"/>
      <w:b w:val="false"/>
      <w:bCs w:val="false"/>
      <w:i w:val="false"/>
      <w:caps w:val="false"/>
      <w:smallCaps w:val="false"/>
      <w:spacing w:val="0"/>
      <w:sz w:val="28"/>
      <w:szCs w:val="28"/>
      <w:lang w:val="en-US"/>
    </w:rPr>
  </w:style>
  <w:style w:type="character" w:styleId="ListLabel8" w:customStyle="1">
    <w:name w:val="ListLabel 8"/>
    <w:qFormat/>
    <w:rPr>
      <w:rFonts w:ascii="Times New Roman" w:hAnsi="Times New Roman" w:eastAsia="Times New Roman" w:cs="Arial"/>
      <w:color w:val="00000A"/>
      <w:sz w:val="28"/>
      <w:szCs w:val="28"/>
    </w:rPr>
  </w:style>
  <w:style w:type="character" w:styleId="ListLabel9">
    <w:name w:val="ListLabel 9"/>
    <w:qFormat/>
    <w:rPr>
      <w:rFonts w:ascii="Times New Roman" w:hAnsi="Times New Roman" w:eastAsia="Times New Roman" w:cs="Arial"/>
      <w:color w:val="00000A"/>
      <w:sz w:val="28"/>
      <w:szCs w:val="28"/>
      <w:lang w:val="ru-RU"/>
    </w:rPr>
  </w:style>
  <w:style w:type="character" w:styleId="ListLabel10">
    <w:name w:val="ListLabel 10"/>
    <w:qFormat/>
    <w:rPr>
      <w:rFonts w:ascii="Times New Roman" w:hAnsi="Times New Roman" w:eastAsia="Times New Roman" w:cs="Arial"/>
      <w:color w:val="00000A"/>
      <w:sz w:val="28"/>
      <w:szCs w:val="28"/>
    </w:rPr>
  </w:style>
  <w:style w:type="character" w:styleId="Style17">
    <w:name w:val="Интернет-ссылка"/>
    <w:rPr>
      <w:color w:val="000080"/>
      <w:u w:val="single"/>
      <w:lang w:val="zxx" w:eastAsia="zxx" w:bidi="zxx"/>
    </w:rPr>
  </w:style>
  <w:style w:type="character" w:styleId="ListLabel11">
    <w:name w:val="ListLabel 11"/>
    <w:qFormat/>
    <w:rPr>
      <w:rFonts w:ascii="Times New Roman" w:hAnsi="Times New Roman" w:eastAsia="Times New Roman" w:cs="Arial"/>
      <w:color w:val="00000A"/>
      <w:sz w:val="28"/>
      <w:szCs w:val="28"/>
      <w:lang w:val="ru-RU"/>
    </w:rPr>
  </w:style>
  <w:style w:type="character" w:styleId="ListLabel12">
    <w:name w:val="ListLabel 12"/>
    <w:qFormat/>
    <w:rPr>
      <w:rFonts w:ascii="Times New Roman" w:hAnsi="Times New Roman" w:eastAsia="Times New Roman" w:cs="Arial"/>
      <w:color w:val="00000A"/>
      <w:sz w:val="28"/>
      <w:szCs w:val="28"/>
    </w:rPr>
  </w:style>
  <w:style w:type="character" w:styleId="ListLabel13">
    <w:name w:val="ListLabel 13"/>
    <w:qFormat/>
    <w:rPr>
      <w:rFonts w:ascii="Times New Roman" w:hAnsi="Times New Roman" w:eastAsia="Times New Roman" w:cs="Arial"/>
      <w:color w:val="00000A"/>
      <w:sz w:val="28"/>
      <w:szCs w:val="28"/>
      <w:lang w:val="ru-RU"/>
    </w:rPr>
  </w:style>
  <w:style w:type="character" w:styleId="ListLabel14">
    <w:name w:val="ListLabel 14"/>
    <w:qFormat/>
    <w:rPr>
      <w:rFonts w:ascii="Times New Roman" w:hAnsi="Times New Roman" w:eastAsia="Times New Roman" w:cs="Arial"/>
      <w:color w:val="00000A"/>
      <w:sz w:val="28"/>
      <w:szCs w:val="28"/>
    </w:rPr>
  </w:style>
  <w:style w:type="character" w:styleId="ListLabel15">
    <w:name w:val="ListLabel 15"/>
    <w:qFormat/>
    <w:rPr>
      <w:rFonts w:ascii="Times New Roman" w:hAnsi="Times New Roman" w:eastAsia="Times New Roman" w:cs="Arial"/>
      <w:color w:val="00000A"/>
      <w:sz w:val="28"/>
      <w:szCs w:val="28"/>
      <w:lang w:val="ru-RU"/>
    </w:rPr>
  </w:style>
  <w:style w:type="character" w:styleId="ListLabel16">
    <w:name w:val="ListLabel 16"/>
    <w:qFormat/>
    <w:rPr>
      <w:rFonts w:ascii="Times New Roman" w:hAnsi="Times New Roman" w:eastAsia="Times New Roman" w:cs="Arial"/>
      <w:color w:val="00000A"/>
      <w:sz w:val="28"/>
      <w:szCs w:val="28"/>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customStyle="1">
    <w:name w:val="Caption"/>
    <w:basedOn w:val="Normal"/>
    <w:qFormat/>
    <w:pPr>
      <w:suppressAutoHyphens w:val="true"/>
      <w:spacing w:before="120" w:after="120"/>
    </w:pPr>
    <w:rPr>
      <w:rFonts w:ascii="Times New Roman" w:hAnsi="Times New Roman" w:eastAsia="Lohit Devanagari"/>
      <w:i/>
      <w:color w:val="000000"/>
      <w:sz w:val="24"/>
      <w:lang w:val="ru-RU" w:eastAsia="ar-SA"/>
    </w:rPr>
  </w:style>
  <w:style w:type="paragraph" w:styleId="Style22">
    <w:name w:val="Указатель"/>
    <w:basedOn w:val="Normal"/>
    <w:qFormat/>
    <w:pPr>
      <w:suppressLineNumbers/>
    </w:pPr>
    <w:rPr>
      <w:rFonts w:cs="Lohit Devanagari"/>
    </w:rPr>
  </w:style>
  <w:style w:type="paragraph" w:styleId="Style23">
    <w:name w:val="Title"/>
    <w:basedOn w:val="Normal"/>
    <w:next w:val="Style19"/>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AutoHyphens w:val="true"/>
      <w:jc w:val="center"/>
    </w:pPr>
    <w:rPr>
      <w:rFonts w:ascii="Times New Roman" w:hAnsi="Times New Roman" w:eastAsia="Times New Roman"/>
      <w:b/>
      <w:color w:val="000000"/>
      <w:sz w:val="24"/>
      <w:lang w:val="uk-UA" w:eastAsia="ar-SA"/>
    </w:rPr>
  </w:style>
  <w:style w:type="paragraph" w:styleId="Style24" w:customStyle="1">
    <w:name w:val="Покажчик"/>
    <w:basedOn w:val="Normal"/>
    <w:qFormat/>
    <w:pPr>
      <w:suppressLineNumbers/>
    </w:pPr>
    <w:rPr>
      <w:rFonts w:cs="Arial"/>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Style27" w:customStyle="1">
    <w:name w:val="Содержимое таблицы"/>
    <w:basedOn w:val="Normal"/>
    <w:qFormat/>
    <w:pPr>
      <w:suppressAutoHyphens w:val="true"/>
    </w:pPr>
    <w:rPr>
      <w:rFonts w:ascii="Times New Roman" w:hAnsi="Times New Roman" w:eastAsia="Times New Roman"/>
      <w:color w:val="000000"/>
      <w:sz w:val="24"/>
      <w:lang w:val="ru-RU" w:eastAsia="ar-SA"/>
    </w:rPr>
  </w:style>
  <w:style w:type="paragraph" w:styleId="Style28" w:customStyle="1">
    <w:name w:val="Заголовок таблицы"/>
    <w:qFormat/>
    <w:pPr>
      <w:widowControl/>
      <w:suppressAutoHyphens w:val="true"/>
      <w:bidi w:val="0"/>
      <w:jc w:val="center"/>
    </w:pPr>
    <w:rPr>
      <w:rFonts w:ascii="Times New Roman" w:hAnsi="Times New Roman" w:eastAsia="Times New Roman" w:cs=""/>
      <w:b/>
      <w:color w:val="000000"/>
      <w:kern w:val="0"/>
      <w:sz w:val="24"/>
      <w:szCs w:val="22"/>
      <w:lang w:val="ru-RU" w:eastAsia="ar-SA" w:bidi="ar-SA"/>
    </w:rPr>
  </w:style>
  <w:style w:type="paragraph" w:styleId="Style29" w:customStyle="1">
    <w:name w:val="Содержимое врезки"/>
    <w:basedOn w:val="Normal"/>
    <w:qFormat/>
    <w:pPr>
      <w:suppressAutoHyphens w:val="true"/>
    </w:pPr>
    <w:rPr>
      <w:rFonts w:ascii="Times New Roman" w:hAnsi="Times New Roman" w:eastAsia="Times New Roman"/>
      <w:color w:val="000000"/>
      <w:sz w:val="24"/>
      <w:lang w:val="ru-RU" w:eastAsia="ar-SA"/>
    </w:rPr>
  </w:style>
  <w:style w:type="paragraph" w:styleId="BalloonText">
    <w:name w:val="Balloon Text"/>
    <w:basedOn w:val="Normal"/>
    <w:qFormat/>
    <w:pPr>
      <w:suppressAutoHyphens w:val="true"/>
    </w:pPr>
    <w:rPr>
      <w:rFonts w:ascii="Segoe UI" w:hAnsi="Segoe UI" w:eastAsia="Segoe UI"/>
      <w:color w:val="000000"/>
      <w:sz w:val="18"/>
      <w:lang w:val="ru-RU" w:eastAsia="ar-SA"/>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Courier New"/>
      <w:color w:val="000000"/>
      <w:sz w:val="20"/>
      <w:lang w:val="uk-UA" w:eastAsia="ar-SA"/>
    </w:rPr>
  </w:style>
  <w:style w:type="paragraph" w:styleId="Style30" w:customStyle="1">
    <w:name w:val="Знак"/>
    <w:basedOn w:val="Normal"/>
    <w:qFormat/>
    <w:pPr>
      <w:suppressAutoHyphens w:val="true"/>
    </w:pPr>
    <w:rPr>
      <w:rFonts w:ascii="Verdana" w:hAnsi="Verdana" w:eastAsia="Verdana"/>
      <w:color w:val="000000"/>
      <w:sz w:val="20"/>
      <w:lang w:eastAsia="ar-SA"/>
    </w:rPr>
  </w:style>
  <w:style w:type="paragraph" w:styleId="Style31" w:customStyle="1">
    <w:name w:val="Знак Знак Знак Знак"/>
    <w:basedOn w:val="Normal"/>
    <w:qFormat/>
    <w:pPr>
      <w:suppressAutoHyphens w:val="true"/>
    </w:pPr>
    <w:rPr>
      <w:rFonts w:ascii="Verdana" w:hAnsi="Verdana" w:eastAsia="Verdana"/>
      <w:color w:val="000000"/>
      <w:sz w:val="20"/>
      <w:lang w:eastAsia="ar-SA"/>
    </w:rPr>
  </w:style>
  <w:style w:type="paragraph" w:styleId="Indexheading">
    <w:name w:val="index heading"/>
    <w:basedOn w:val="Normal"/>
    <w:qFormat/>
    <w:pPr>
      <w:suppressAutoHyphens w:val="true"/>
    </w:pPr>
    <w:rPr>
      <w:rFonts w:ascii="Times New Roman" w:hAnsi="Times New Roman" w:eastAsia="Lohit Devanagari"/>
      <w:color w:val="000000"/>
      <w:sz w:val="24"/>
      <w:lang w:val="ru-RU"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LibreOffice/6.2.0.3$Linux_X86_64 LibreOffice_project/98c6a8a1c6c7b144ce3cc729e34964b47ce25d62</Application>
  <Pages>4</Pages>
  <Words>851</Words>
  <Characters>5694</Characters>
  <CharactersWithSpaces>6619</CharactersWithSpaces>
  <Paragraphs>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2021-05-25T06:03:00Z</dcterms:created>
  <dc:creator>Пользователь Windows</dc:creator>
  <dc:description/>
  <dc:language>uk-UA</dc:language>
  <cp:lastModifiedBy/>
  <cp:lastPrinted>2021-05-25T15:24:19Z</cp:lastPrinted>
  <dcterms:modified xsi:type="dcterms:W3CDTF">2021-05-25T15:35:05Z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