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widowControl/>
        <w:shd w:val="clear" w:color="auto" w:fill="FFFFFF"/>
        <w:spacing w:lineRule="auto" w:line="240" w:before="0" w:after="150"/>
        <w:ind w:left="0" w:right="0" w:hanging="0"/>
        <w:jc w:val="center"/>
        <w:rPr>
          <w:rFonts w:ascii="Times New Roman" w:hAnsi="Times New Roman"/>
          <w:color w:val="111111"/>
          <w:sz w:val="28"/>
          <w:szCs w:val="28"/>
        </w:rPr>
      </w:pPr>
      <w:r>
        <w:rPr>
          <w:rStyle w:val="Style14"/>
          <w:rFonts w:eastAsia="Times New Roman" w:cs="Arial" w:ascii="Times New Roman" w:hAnsi="Times New Roman"/>
          <w:b/>
          <w:i w:val="false"/>
          <w:caps w:val="false"/>
          <w:smallCaps w:val="false"/>
          <w:color w:val="000000"/>
          <w:spacing w:val="0"/>
          <w:sz w:val="28"/>
          <w:szCs w:val="28"/>
          <w:lang w:val="uk-UA" w:eastAsia="en-US" w:bidi="ar-SA"/>
        </w:rPr>
        <w:t>Інформація відділу землекористування Покровської міської  ради про проведення конкурсу</w:t>
      </w:r>
      <w:r>
        <w:rPr>
          <w:rFonts w:eastAsia="Times New Roman" w:cs="Arial" w:ascii="Times New Roman" w:hAnsi="Times New Roman"/>
          <w:b w:val="false"/>
          <w:bCs/>
          <w:i w:val="false"/>
          <w:caps w:val="false"/>
          <w:smallCaps w:val="false"/>
          <w:color w:val="000000"/>
          <w:spacing w:val="0"/>
          <w:sz w:val="28"/>
          <w:szCs w:val="28"/>
          <w:lang w:val="uk-UA" w:eastAsia="en-US" w:bidi="ar-SA"/>
        </w:rPr>
        <w:t xml:space="preserve">  </w:t>
      </w:r>
      <w:r>
        <w:rPr>
          <w:rStyle w:val="Style14"/>
          <w:rFonts w:eastAsia="Times New Roman" w:cs="Arial" w:ascii="Times New Roman" w:hAnsi="Times New Roman"/>
          <w:b/>
          <w:i w:val="false"/>
          <w:caps w:val="false"/>
          <w:smallCaps w:val="false"/>
          <w:color w:val="000000"/>
          <w:spacing w:val="0"/>
          <w:sz w:val="28"/>
          <w:szCs w:val="28"/>
          <w:lang w:val="uk-UA" w:eastAsia="en-US" w:bidi="ar-SA"/>
        </w:rPr>
        <w:t>з відбору виконавця земельних торгів з продажу земельних ділянок (або прав оренди на них)</w:t>
      </w:r>
    </w:p>
    <w:p>
      <w:pPr>
        <w:pStyle w:val="Normal"/>
        <w:shd w:val="clear" w:color="auto" w:fill="FFFFFF"/>
        <w:spacing w:lineRule="auto" w:line="240" w:before="0" w:after="150"/>
        <w:jc w:val="both"/>
        <w:rPr>
          <w:rFonts w:ascii="Arial" w:hAnsi="Arial" w:eastAsia="Times New Roman" w:cs="Arial"/>
          <w:color w:val="666666"/>
          <w:sz w:val="21"/>
          <w:szCs w:val="21"/>
          <w:lang w:val="ru-RU"/>
        </w:rPr>
      </w:pPr>
      <w:r>
        <w:rPr>
          <w:rFonts w:eastAsia="Times New Roman" w:cs="Arial" w:ascii="Times New Roman" w:hAnsi="Times New Roman"/>
          <w:b/>
          <w:bCs/>
          <w:color w:val="111111"/>
          <w:sz w:val="28"/>
          <w:szCs w:val="28"/>
          <w:lang w:val="uk-UA" w:eastAsia="en-US" w:bidi="ar-SA"/>
        </w:rPr>
        <w:t>1. Мета проведення робіт:</w:t>
      </w:r>
      <w:r>
        <w:rPr>
          <w:rFonts w:eastAsia="Times New Roman" w:cs="Arial" w:ascii="Times New Roman" w:hAnsi="Times New Roman"/>
          <w:b w:val="false"/>
          <w:bCs w:val="false"/>
          <w:color w:val="111111"/>
          <w:sz w:val="28"/>
          <w:szCs w:val="28"/>
          <w:lang w:val="uk-UA" w:eastAsia="en-US" w:bidi="ar-SA"/>
        </w:rPr>
        <w:t> підготовка лота до продажу та проведення земельних торгів з продажу земельної ділянки комунальної власності</w:t>
      </w:r>
      <w:r>
        <w:rPr>
          <w:rFonts w:eastAsia="Times New Roman" w:cs="Arial" w:ascii="Times New Roman" w:hAnsi="Times New Roman"/>
          <w:color w:val="111111"/>
          <w:sz w:val="28"/>
          <w:szCs w:val="28"/>
          <w:lang w:val="uk-UA" w:eastAsia="en-US" w:bidi="ar-SA"/>
        </w:rPr>
        <w:t xml:space="preserve"> (або прав оренди на неї).</w:t>
      </w:r>
    </w:p>
    <w:p>
      <w:pPr>
        <w:pStyle w:val="Normal"/>
        <w:shd w:val="clear" w:color="auto" w:fill="FFFFFF"/>
        <w:spacing w:lineRule="auto" w:line="240" w:before="0" w:after="150"/>
        <w:rPr/>
      </w:pPr>
      <w:r>
        <w:rPr>
          <w:rFonts w:eastAsia="Times New Roman" w:cs="Arial" w:ascii="Times New Roman" w:hAnsi="Times New Roman"/>
          <w:b/>
          <w:bCs/>
          <w:color w:val="111111"/>
          <w:sz w:val="28"/>
          <w:szCs w:val="28"/>
          <w:lang w:val="uk-UA" w:eastAsia="en-US" w:bidi="ar-SA"/>
        </w:rPr>
        <w:t>2. Дані про земельні ділянки:</w:t>
      </w:r>
    </w:p>
    <w:tbl>
      <w:tblPr>
        <w:tblW w:w="9300"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1263"/>
        <w:gridCol w:w="6051"/>
        <w:gridCol w:w="1986"/>
      </w:tblGrid>
      <w:tr>
        <w:trPr>
          <w:trHeight w:val="300" w:hRule="atLeast"/>
        </w:trPr>
        <w:tc>
          <w:tcPr>
            <w:tcW w:w="126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before="0" w:after="160"/>
              <w:jc w:val="center"/>
              <w:rPr/>
            </w:pPr>
            <w:r>
              <w:rPr>
                <w:color w:val="000000"/>
                <w:sz w:val="22"/>
                <w:szCs w:val="22"/>
              </w:rPr>
              <w:t>Номер земельно</w:t>
            </w:r>
            <w:r>
              <w:rPr>
                <w:color w:val="000000"/>
                <w:sz w:val="22"/>
                <w:szCs w:val="22"/>
                <w:lang w:val="uk-UA"/>
              </w:rPr>
              <w:t xml:space="preserve">ї ділянки </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Місце розташування земельної ділянки</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ind w:left="0" w:right="227" w:hanging="0"/>
              <w:jc w:val="center"/>
              <w:rPr/>
            </w:pPr>
            <w:r>
              <w:rPr>
                <w:color w:val="000000"/>
                <w:sz w:val="22"/>
                <w:szCs w:val="22"/>
                <w:lang w:val="uk-UA"/>
              </w:rPr>
              <w:t>Орієнтовна п</w:t>
            </w:r>
            <w:r>
              <w:rPr>
                <w:color w:val="000000"/>
                <w:sz w:val="22"/>
                <w:szCs w:val="22"/>
              </w:rPr>
              <w:t>лоща земельної ділянки, (</w:t>
            </w:r>
            <w:r>
              <w:rPr>
                <w:color w:val="000000"/>
                <w:sz w:val="22"/>
                <w:szCs w:val="22"/>
                <w:lang w:val="uk-UA"/>
              </w:rPr>
              <w:t>га</w:t>
            </w:r>
            <w:r>
              <w:rPr>
                <w:color w:val="000000"/>
                <w:sz w:val="22"/>
                <w:szCs w:val="22"/>
              </w:rPr>
              <w:t>)</w:t>
            </w:r>
          </w:p>
        </w:tc>
      </w:tr>
      <w:tr>
        <w:trPr>
          <w:trHeight w:val="300" w:hRule="atLeast"/>
        </w:trPr>
        <w:tc>
          <w:tcPr>
            <w:tcW w:w="126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1</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pPr>
            <w:r>
              <w:rPr>
                <w:color w:val="000000"/>
                <w:sz w:val="22"/>
                <w:szCs w:val="22"/>
                <w:lang w:val="uk-UA"/>
              </w:rPr>
              <w:t>вул. Центральна (в районі буд. № 33),</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pPr>
            <w:r>
              <w:rPr>
                <w:color w:val="000000"/>
                <w:sz w:val="22"/>
                <w:szCs w:val="22"/>
                <w:lang w:val="en-US"/>
              </w:rPr>
              <w:t>0,01</w:t>
            </w:r>
            <w:r>
              <w:rPr>
                <w:color w:val="000000"/>
                <w:sz w:val="22"/>
                <w:szCs w:val="22"/>
                <w:lang w:val="uk-UA"/>
              </w:rPr>
              <w:t>6</w:t>
            </w:r>
          </w:p>
        </w:tc>
      </w:tr>
      <w:tr>
        <w:trPr>
          <w:trHeight w:val="300" w:hRule="atLeast"/>
        </w:trPr>
        <w:tc>
          <w:tcPr>
            <w:tcW w:w="126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2</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pPr>
            <w:r>
              <w:rPr>
                <w:color w:val="000000"/>
                <w:sz w:val="22"/>
                <w:szCs w:val="22"/>
                <w:lang w:val="uk-UA"/>
              </w:rPr>
              <w:t xml:space="preserve">вул. Центральна (в районі буд. № 36 та № 38) </w:t>
            </w:r>
            <w:r>
              <w:rPr>
                <w:sz w:val="22"/>
                <w:szCs w:val="22"/>
                <w:lang w:val="uk-UA"/>
              </w:rPr>
              <w:t xml:space="preserve">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0,016</w:t>
            </w:r>
          </w:p>
        </w:tc>
      </w:tr>
      <w:tr>
        <w:trPr>
          <w:trHeight w:val="300" w:hRule="atLeast"/>
        </w:trPr>
        <w:tc>
          <w:tcPr>
            <w:tcW w:w="126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3</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pPr>
            <w:r>
              <w:rPr>
                <w:color w:val="000000"/>
                <w:sz w:val="22"/>
                <w:szCs w:val="22"/>
                <w:lang w:val="uk-UA"/>
              </w:rPr>
              <w:t>вул. Центральна (в районі буд. № 49),</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0,025</w:t>
            </w:r>
          </w:p>
        </w:tc>
      </w:tr>
      <w:tr>
        <w:trPr>
          <w:trHeight w:val="300" w:hRule="atLeast"/>
        </w:trPr>
        <w:tc>
          <w:tcPr>
            <w:tcW w:w="126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4</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pPr>
            <w:r>
              <w:rPr>
                <w:color w:val="000000"/>
                <w:sz w:val="22"/>
                <w:szCs w:val="22"/>
                <w:lang w:val="uk-UA"/>
              </w:rPr>
              <w:t xml:space="preserve">вул. Чайкіної Лізи  (в районі магазину АТБ),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0,015</w:t>
            </w:r>
          </w:p>
        </w:tc>
      </w:tr>
      <w:tr>
        <w:trPr>
          <w:trHeight w:val="300" w:hRule="atLeast"/>
        </w:trPr>
        <w:tc>
          <w:tcPr>
            <w:tcW w:w="126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5</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bidi w:val="0"/>
              <w:spacing w:lineRule="auto" w:line="259" w:before="0" w:after="160"/>
              <w:jc w:val="left"/>
              <w:rPr/>
            </w:pPr>
            <w:r>
              <w:rPr>
                <w:color w:val="000000"/>
                <w:sz w:val="22"/>
                <w:szCs w:val="22"/>
                <w:lang w:val="uk-UA"/>
              </w:rPr>
              <w:t xml:space="preserve">вул. Героїв Україні (в районі буд. №4),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0,022</w:t>
            </w:r>
          </w:p>
        </w:tc>
      </w:tr>
    </w:tbl>
    <w:p>
      <w:pPr>
        <w:pStyle w:val="Normal"/>
        <w:shd w:val="clear" w:color="auto" w:fill="FFFFFF"/>
        <w:spacing w:lineRule="auto" w:line="240" w:before="0" w:after="150"/>
        <w:rPr>
          <w:rFonts w:ascii="Times New Roman" w:hAnsi="Times New Roman" w:eastAsia="Times New Roman" w:cs="Arial"/>
          <w:b/>
          <w:b/>
          <w:bCs/>
          <w:color w:val="111111"/>
          <w:sz w:val="28"/>
          <w:szCs w:val="28"/>
        </w:rPr>
      </w:pPr>
      <w:r>
        <w:rPr>
          <w:rFonts w:eastAsia="Times New Roman" w:cs="Arial" w:ascii="Times New Roman" w:hAnsi="Times New Roman"/>
          <w:b/>
          <w:bCs/>
          <w:color w:val="111111"/>
          <w:sz w:val="28"/>
          <w:szCs w:val="28"/>
        </w:rPr>
      </w:r>
    </w:p>
    <w:p>
      <w:pPr>
        <w:pStyle w:val="Style20"/>
        <w:widowControl/>
        <w:spacing w:before="0" w:after="150"/>
        <w:ind w:left="0" w:right="0" w:hanging="0"/>
        <w:rPr/>
      </w:pPr>
      <w:r>
        <w:rPr>
          <w:rStyle w:val="Style14"/>
          <w:rFonts w:ascii="Times New Roman" w:hAnsi="Times New Roman"/>
          <w:b/>
          <w:i w:val="false"/>
          <w:caps w:val="false"/>
          <w:smallCaps w:val="false"/>
          <w:color w:val="000000"/>
          <w:spacing w:val="0"/>
          <w:sz w:val="28"/>
          <w:szCs w:val="28"/>
          <w:lang w:val="uk-UA" w:eastAsia="en-US" w:bidi="ar-SA"/>
        </w:rPr>
        <w:t>3. Умови конкурсу: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ab/>
        <w:t>Під час обрання переможця із числа учасників конкурсу з відбору виконавців земельних торгів враховується загальна оцінка балів конкурсної пропозиції кожного з учасників за критеріями, зазначеними у пунктах 5.2 та 5.3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ab/>
        <w:t>Витрати на підготовку лотів до продажу, організацію і проведення земельних торгів, у тому числі виплата винагороди Виконавцю земельних торгів, здійснюватимуться без витрачання бюджетних коштів.</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Переможець повинен:</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забезпечити фінансування підготовки лотів та забезпечити підготовку лотів до продажу на земельних торгах, а також проведення земельних торгів за власний рахунок на підставі відповідних договорів між Організатором та Виконавцем земельних торгів з наступним відшкодуванням витрат покупцем лотів у відповідності до пункту 5 статті 136 Земельного кодексу України;</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Підготовка лотів до продажу, яку забезпечує Виконавець, включає:</w:t>
      </w:r>
    </w:p>
    <w:p>
      <w:pPr>
        <w:pStyle w:val="Style20"/>
        <w:widowControl/>
        <w:spacing w:before="0" w:after="150"/>
        <w:ind w:left="709" w:right="0" w:hanging="0"/>
        <w:jc w:val="both"/>
        <w:rPr/>
      </w:pPr>
      <w:r>
        <w:rPr>
          <w:rFonts w:ascii="Times New Roman" w:hAnsi="Times New Roman"/>
          <w:b w:val="false"/>
          <w:i w:val="false"/>
          <w:caps w:val="false"/>
          <w:smallCaps w:val="false"/>
          <w:color w:val="000000"/>
          <w:spacing w:val="0"/>
          <w:sz w:val="28"/>
          <w:szCs w:val="28"/>
          <w:lang w:val="uk-UA" w:eastAsia="en-US" w:bidi="ar-SA"/>
        </w:rPr>
        <w:t>1) розробку відповідної документації із землеустрою на земельні ділянки та її погодження у встановленому порядку (вид документації визначено у рішенн</w:t>
      </w:r>
      <w:r>
        <w:rPr>
          <w:rFonts w:ascii="Times New Roman" w:hAnsi="Times New Roman"/>
          <w:b w:val="false"/>
          <w:i w:val="false"/>
          <w:caps w:val="false"/>
          <w:smallCaps w:val="false"/>
          <w:color w:val="000000"/>
          <w:spacing w:val="0"/>
          <w:sz w:val="28"/>
          <w:szCs w:val="28"/>
          <w:lang w:val="uk-UA" w:eastAsia="en-US" w:bidi="ar-SA"/>
        </w:rPr>
        <w:t>і</w:t>
      </w:r>
      <w:r>
        <w:rPr>
          <w:rFonts w:ascii="Times New Roman" w:hAnsi="Times New Roman"/>
          <w:b w:val="false"/>
          <w:i w:val="false"/>
          <w:caps w:val="false"/>
          <w:smallCaps w:val="false"/>
          <w:color w:val="000000"/>
          <w:spacing w:val="0"/>
          <w:sz w:val="28"/>
          <w:szCs w:val="28"/>
          <w:lang w:val="uk-UA" w:eastAsia="en-US" w:bidi="ar-SA"/>
        </w:rPr>
        <w:t xml:space="preserve"> міської ради від </w:t>
      </w:r>
      <w:r>
        <w:rPr>
          <w:rFonts w:ascii="Times New Roman" w:hAnsi="Times New Roman"/>
          <w:b w:val="false"/>
          <w:i w:val="false"/>
          <w:caps w:val="false"/>
          <w:smallCaps w:val="false"/>
          <w:color w:val="000000"/>
          <w:spacing w:val="0"/>
          <w:sz w:val="28"/>
          <w:szCs w:val="28"/>
          <w:lang w:val="uk-UA" w:eastAsia="en-US" w:bidi="ar-SA"/>
        </w:rPr>
        <w:t>20.03.2020 за  № 6</w:t>
      </w:r>
      <w:r>
        <w:rPr>
          <w:rFonts w:ascii="Times New Roman" w:hAnsi="Times New Roman"/>
          <w:b w:val="false"/>
          <w:i w:val="false"/>
          <w:caps w:val="false"/>
          <w:smallCaps w:val="false"/>
          <w:color w:val="000000"/>
          <w:spacing w:val="0"/>
          <w:sz w:val="28"/>
          <w:szCs w:val="28"/>
          <w:lang w:val="uk-UA" w:eastAsia="en-US" w:bidi="ar-SA"/>
        </w:rPr>
        <w:t>);</w:t>
      </w:r>
    </w:p>
    <w:p>
      <w:pPr>
        <w:pStyle w:val="Style20"/>
        <w:widowControl/>
        <w:spacing w:before="0" w:after="150"/>
        <w:ind w:left="708"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2) проведення експертної грошової оцінки земельних ділянок з виготовленням звітів (у разі продажу земельних ділянок у власність).</w:t>
      </w:r>
    </w:p>
    <w:p>
      <w:pPr>
        <w:pStyle w:val="Normal"/>
        <w:shd w:val="clear" w:color="auto" w:fill="FFFFFF"/>
        <w:spacing w:lineRule="auto" w:line="240" w:before="0" w:after="150"/>
        <w:jc w:val="both"/>
        <w:rPr>
          <w:lang w:val="uk-UA" w:eastAsia="en-US" w:bidi="ar-SA"/>
        </w:rPr>
      </w:pPr>
      <w:r>
        <w:rPr>
          <w:rFonts w:eastAsia="Times New Roman" w:cs="Arial" w:ascii="Times New Roman" w:hAnsi="Times New Roman"/>
          <w:color w:val="111111"/>
          <w:sz w:val="28"/>
          <w:szCs w:val="28"/>
          <w:lang w:val="uk-UA" w:eastAsia="en-US" w:bidi="ar-SA"/>
        </w:rPr>
        <w:t xml:space="preserve">    </w:t>
      </w:r>
      <w:r>
        <w:rPr>
          <w:rFonts w:eastAsia="Times New Roman" w:cs="Arial" w:ascii="Times New Roman" w:hAnsi="Times New Roman"/>
          <w:color w:val="111111"/>
          <w:sz w:val="28"/>
          <w:szCs w:val="28"/>
          <w:lang w:val="uk-UA" w:eastAsia="en-US" w:bidi="ar-SA"/>
        </w:rPr>
        <w:t>Конкурсна документація подається в запечатаному конверті, на якому, крім поштових реквізитів робиться відмітка </w:t>
      </w:r>
      <w:r>
        <w:rPr>
          <w:rFonts w:eastAsia="Times New Roman" w:cs="Arial" w:ascii="Times New Roman" w:hAnsi="Times New Roman"/>
          <w:b/>
          <w:bCs/>
          <w:color w:val="111111"/>
          <w:sz w:val="28"/>
          <w:szCs w:val="28"/>
          <w:lang w:val="uk-UA" w:eastAsia="en-US" w:bidi="ar-SA"/>
        </w:rPr>
        <w:t>«На конкурс з відбору виконавців послуг з виконання земельних торгів»</w:t>
      </w:r>
      <w:r>
        <w:rPr>
          <w:rFonts w:eastAsia="Times New Roman" w:cs="Arial" w:ascii="Times New Roman" w:hAnsi="Times New Roman"/>
          <w:color w:val="111111"/>
          <w:sz w:val="28"/>
          <w:szCs w:val="28"/>
          <w:lang w:val="uk-UA" w:eastAsia="en-US" w:bidi="ar-SA"/>
        </w:rPr>
        <w:t> із зазначенням земельної ділянки та дати проведення конкурсу.</w:t>
      </w:r>
    </w:p>
    <w:p>
      <w:pPr>
        <w:pStyle w:val="Normal"/>
        <w:widowControl/>
        <w:shd w:val="clear" w:color="auto" w:fill="FFFFFF"/>
        <w:spacing w:lineRule="auto" w:line="240" w:before="0" w:after="150"/>
        <w:ind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eastAsia="Times New Roman" w:cs="Arial" w:ascii="Times New Roman" w:hAnsi="Times New Roman"/>
          <w:b w:val="false"/>
          <w:i w:val="false"/>
          <w:caps w:val="false"/>
          <w:smallCaps w:val="false"/>
          <w:color w:val="111111"/>
          <w:spacing w:val="0"/>
          <w:sz w:val="28"/>
          <w:szCs w:val="28"/>
          <w:lang w:val="uk-UA" w:eastAsia="en-US" w:bidi="ar-SA"/>
        </w:rPr>
        <w:t xml:space="preserve">    </w:t>
      </w:r>
      <w:r>
        <w:rPr>
          <w:rFonts w:eastAsia="Times New Roman" w:cs="Arial" w:ascii="Times New Roman" w:hAnsi="Times New Roman"/>
          <w:b w:val="false"/>
          <w:i w:val="false"/>
          <w:caps w:val="false"/>
          <w:smallCaps w:val="false"/>
          <w:color w:val="111111"/>
          <w:spacing w:val="0"/>
          <w:sz w:val="28"/>
          <w:szCs w:val="28"/>
          <w:lang w:val="uk-UA" w:eastAsia="en-US" w:bidi="ar-SA"/>
        </w:rPr>
        <w:t>У конверті мають міститися підтвердні документи з їх описом та окремий запечатаний конверт з конкурсною пропозицією.</w:t>
      </w:r>
    </w:p>
    <w:p>
      <w:pPr>
        <w:pStyle w:val="Normal"/>
        <w:widowControl/>
        <w:shd w:val="clear" w:color="auto" w:fill="FFFFFF"/>
        <w:spacing w:lineRule="auto" w:line="240" w:before="0" w:after="150"/>
        <w:ind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eastAsia="Times New Roman" w:cs="Arial" w:ascii="Times New Roman" w:hAnsi="Times New Roman"/>
          <w:b/>
          <w:bCs/>
          <w:i w:val="false"/>
          <w:caps w:val="false"/>
          <w:smallCaps w:val="false"/>
          <w:color w:val="111111"/>
          <w:spacing w:val="0"/>
          <w:sz w:val="28"/>
          <w:szCs w:val="28"/>
          <w:lang w:val="uk-UA" w:eastAsia="en-US" w:bidi="ar-SA"/>
        </w:rPr>
        <w:t>4. Перелік підтвердних документів, які подаються на конкурс з відбору виконавців :*</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заява про участь у конкурсі з відбору виконавця послуг з виконання земельних торгів за формою згідно з додатком 1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року.(далі – Регламент);</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документа, що засвідчує реєстрацію фізичних осіб у Державному реєстрі фізичних осіб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установчих документів претендента та виписки з Єдиного державного реєстру юридичних осіб та фізичних осіб-підприємців (для претендента – юридичної особи);</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витягу з Державного реєстру платників податку (єдиного податку);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згода на обробку персональних даних (для претендента – фізичної особи-підприємця) згідно з додатком 2 Регламенту;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(за наявності);</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довідка у довільній формі про наявність необхідного для розроблення документації із землеустрою технічного і технологічного забезпечення;</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сертифікатів інженерів-землевпорядників претендента, яких буде залучено до розробки документації із землеустрою;</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сертифіката суб’єкта оціночної діяльності;</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документів оцінювачів (та підвищення кваліфікації) з експертної грошової оцінки земельних ділянок, яких буде залучено до виконання робіт з оцінки;</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highlight w:val="white"/>
          <w:lang w:val="uk-UA" w:eastAsia="en-US" w:bidi="ar-SA"/>
        </w:rPr>
      </w:pPr>
      <w:r>
        <w:rPr>
          <w:rFonts w:ascii="Times New Roman" w:hAnsi="Times New Roman"/>
          <w:b w:val="false"/>
          <w:i w:val="false"/>
          <w:caps w:val="false"/>
          <w:smallCaps w:val="false"/>
          <w:color w:val="000000"/>
          <w:spacing w:val="0"/>
          <w:sz w:val="28"/>
          <w:szCs w:val="28"/>
          <w:highlight w:val="white"/>
          <w:lang w:val="uk-UA" w:eastAsia="en-US" w:bidi="ar-SA"/>
        </w:rPr>
        <w:t>- проект завдання на виконання послуг,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 а саме:</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а) документація із землеустрою, погоджена у встановленому чинним законодавством порядку (1 примірник – оригінал; 3 примірники – завірені копії);</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б) документація із землеустрою в електронному вигляді на електронному носії, із зазначенням виду електронного носія;</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в) завірені копії акту встановлення та узгодження меж у 4 примірниках;</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г) завірені копії кадастрового плану у 4 примірниках;</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зобов’язання учасника щодо:</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а) оформлення результатів геодезичних робіт з використанням місцевої системи координат </w:t>
      </w:r>
      <w:r>
        <w:rPr>
          <w:rFonts w:ascii="Times New Roman" w:hAnsi="Times New Roman"/>
          <w:b w:val="false"/>
          <w:i w:val="false"/>
          <w:caps w:val="false"/>
          <w:smallCaps w:val="false"/>
          <w:color w:val="000000"/>
          <w:spacing w:val="0"/>
          <w:sz w:val="28"/>
          <w:szCs w:val="28"/>
          <w:highlight w:val="white"/>
          <w:lang w:val="uk-UA" w:eastAsia="en-US" w:bidi="ar-SA"/>
        </w:rPr>
        <w:t>(Local) </w:t>
      </w:r>
      <w:r>
        <w:rPr>
          <w:rFonts w:ascii="Times New Roman" w:hAnsi="Times New Roman"/>
          <w:b w:val="false"/>
          <w:i w:val="false"/>
          <w:caps w:val="false"/>
          <w:smallCaps w:val="false"/>
          <w:color w:val="000000"/>
          <w:spacing w:val="0"/>
          <w:sz w:val="28"/>
          <w:szCs w:val="28"/>
          <w:lang w:val="uk-UA" w:eastAsia="en-US" w:bidi="ar-SA"/>
        </w:rPr>
        <w:t>та </w:t>
      </w:r>
      <w:r>
        <w:rPr>
          <w:rFonts w:ascii="Times New Roman" w:hAnsi="Times New Roman"/>
          <w:b w:val="false"/>
          <w:i w:val="false"/>
          <w:caps w:val="false"/>
          <w:smallCaps w:val="false"/>
          <w:color w:val="000000"/>
          <w:spacing w:val="0"/>
          <w:sz w:val="28"/>
          <w:szCs w:val="28"/>
          <w:highlight w:val="white"/>
          <w:lang w:val="uk-UA" w:eastAsia="en-US" w:bidi="ar-SA"/>
        </w:rPr>
        <w:t>системи координат УСК-2000 (USC2000) - державної геодезичної референтної системи координат УСК-2000</w:t>
      </w:r>
      <w:r>
        <w:rPr>
          <w:rFonts w:ascii="Times New Roman" w:hAnsi="Times New Roman"/>
          <w:b w:val="false"/>
          <w:i w:val="false"/>
          <w:caps w:val="false"/>
          <w:smallCaps w:val="false"/>
          <w:color w:val="000000"/>
          <w:spacing w:val="0"/>
          <w:sz w:val="28"/>
          <w:szCs w:val="28"/>
          <w:lang w:val="uk-UA" w:eastAsia="en-US" w:bidi="ar-SA"/>
        </w:rPr>
        <w:t>;</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б) організації та проведення робіт щодо здійснення дій по підписанню акту встановлення та узгодження меж з суміжними користувачами без залучення Організатора;</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в) погодження проекту землеустрою у встановленому чинним законодавством порядку;</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г) проходження державної експертизи землевпорядної документації, у добровільній формі (у разі необхідності) та надання Організатору позитивного висновку цієї експертизи;</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ґ) здійснення рецензування звіту про експертну грошову оцінку земельної ділянки та надання Організатору позитивної рецензії.</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*Всі документи (за винятком оригіналів та нотаріально завірених копій, виданих іншими установами) повинні бути завірені в установленому порядку.</w:t>
      </w:r>
    </w:p>
    <w:p>
      <w:pPr>
        <w:pStyle w:val="Style20"/>
        <w:widowControl/>
        <w:spacing w:before="0" w:after="15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5. Строк подання конкурсної документації:</w:t>
      </w:r>
      <w:r>
        <w:rPr>
          <w:rFonts w:ascii="Times New Roman" w:hAnsi="Times New Roman"/>
          <w:b w:val="false"/>
          <w:i w:val="false"/>
          <w:caps w:val="false"/>
          <w:smallCaps w:val="false"/>
          <w:color w:val="000000"/>
          <w:spacing w:val="0"/>
          <w:sz w:val="28"/>
          <w:szCs w:val="28"/>
          <w:lang w:val="uk-UA" w:eastAsia="en-US" w:bidi="ar-SA"/>
        </w:rPr>
        <w:t xml:space="preserve"> до 16.00 год. </w:t>
      </w:r>
      <w:r>
        <w:rPr>
          <w:rFonts w:ascii="Times New Roman" w:hAnsi="Times New Roman"/>
          <w:b w:val="false"/>
          <w:i w:val="false"/>
          <w:caps w:val="false"/>
          <w:smallCaps w:val="false"/>
          <w:color w:val="000000"/>
          <w:spacing w:val="0"/>
          <w:sz w:val="28"/>
          <w:szCs w:val="28"/>
          <w:lang w:val="uk-UA" w:eastAsia="en-US" w:bidi="ar-SA"/>
        </w:rPr>
        <w:t>16.04.2020</w:t>
      </w:r>
      <w:r>
        <w:rPr>
          <w:rFonts w:ascii="Times New Roman" w:hAnsi="Times New Roman"/>
          <w:b w:val="false"/>
          <w:i w:val="false"/>
          <w:caps w:val="false"/>
          <w:smallCaps w:val="false"/>
          <w:color w:val="000000"/>
          <w:spacing w:val="0"/>
          <w:sz w:val="28"/>
          <w:szCs w:val="28"/>
          <w:lang w:val="uk-UA" w:eastAsia="en-US" w:bidi="ar-SA"/>
        </w:rPr>
        <w:t xml:space="preserve"> року (включно).</w:t>
      </w:r>
    </w:p>
    <w:p>
      <w:pPr>
        <w:pStyle w:val="Style20"/>
        <w:widowControl/>
        <w:spacing w:before="0" w:after="15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6. Адреса, за якою подаються документи:</w:t>
      </w:r>
      <w:r>
        <w:rPr>
          <w:rFonts w:ascii="Times New Roman" w:hAnsi="Times New Roman"/>
          <w:b w:val="false"/>
          <w:i w:val="false"/>
          <w:caps w:val="false"/>
          <w:smallCaps w:val="false"/>
          <w:color w:val="000000"/>
          <w:spacing w:val="0"/>
          <w:sz w:val="28"/>
          <w:szCs w:val="28"/>
          <w:lang w:val="uk-UA" w:eastAsia="en-US" w:bidi="ar-SA"/>
        </w:rPr>
        <w:t> 53300, м. Покров,                                       вул.Центральна, 48 каб.410</w:t>
      </w:r>
    </w:p>
    <w:p>
      <w:pPr>
        <w:pStyle w:val="Style20"/>
        <w:widowControl/>
        <w:spacing w:before="0" w:after="15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7. Інформація про проведення конкурсу:</w:t>
      </w:r>
      <w:r>
        <w:rPr>
          <w:rFonts w:ascii="Times New Roman" w:hAnsi="Times New Roman"/>
          <w:b w:val="false"/>
          <w:i w:val="false"/>
          <w:caps w:val="false"/>
          <w:smallCaps w:val="false"/>
          <w:color w:val="000000"/>
          <w:spacing w:val="0"/>
          <w:sz w:val="28"/>
          <w:szCs w:val="28"/>
          <w:lang w:val="uk-UA" w:eastAsia="en-US" w:bidi="ar-SA"/>
        </w:rPr>
        <w:t xml:space="preserve"> конкурс відбудеться                          </w:t>
      </w:r>
      <w:r>
        <w:rPr>
          <w:rFonts w:ascii="Times New Roman" w:hAnsi="Times New Roman"/>
          <w:b/>
          <w:bCs/>
          <w:i w:val="false"/>
          <w:caps w:val="false"/>
          <w:smallCaps w:val="false"/>
          <w:color w:val="000000"/>
          <w:spacing w:val="0"/>
          <w:sz w:val="28"/>
          <w:szCs w:val="28"/>
          <w:lang w:val="uk-UA" w:eastAsia="en-US" w:bidi="ar-SA"/>
        </w:rPr>
        <w:t>24.04.2020</w:t>
      </w:r>
      <w:r>
        <w:rPr>
          <w:rStyle w:val="Style14"/>
          <w:rFonts w:ascii="Times New Roman" w:hAnsi="Times New Roman"/>
          <w:b/>
          <w:bCs/>
          <w:i w:val="false"/>
          <w:caps w:val="false"/>
          <w:smallCaps w:val="false"/>
          <w:color w:val="000000"/>
          <w:spacing w:val="0"/>
          <w:sz w:val="28"/>
          <w:szCs w:val="28"/>
          <w:lang w:val="uk-UA" w:eastAsia="en-US" w:bidi="ar-SA"/>
        </w:rPr>
        <w:t xml:space="preserve"> року   </w:t>
      </w:r>
      <w:r>
        <w:rPr>
          <w:rStyle w:val="Style14"/>
          <w:rFonts w:ascii="Times New Roman" w:hAnsi="Times New Roman"/>
          <w:b/>
          <w:i w:val="false"/>
          <w:caps w:val="false"/>
          <w:smallCaps w:val="false"/>
          <w:color w:val="000000"/>
          <w:spacing w:val="0"/>
          <w:sz w:val="28"/>
          <w:szCs w:val="28"/>
          <w:lang w:val="uk-UA" w:eastAsia="en-US" w:bidi="ar-SA"/>
        </w:rPr>
        <w:t>   о 1</w:t>
      </w:r>
      <w:r>
        <w:rPr>
          <w:rStyle w:val="Style14"/>
          <w:rFonts w:ascii="Times New Roman" w:hAnsi="Times New Roman"/>
          <w:b/>
          <w:i w:val="false"/>
          <w:caps w:val="false"/>
          <w:smallCaps w:val="false"/>
          <w:color w:val="000000"/>
          <w:spacing w:val="0"/>
          <w:sz w:val="28"/>
          <w:szCs w:val="28"/>
          <w:lang w:val="uk-UA" w:eastAsia="en-US" w:bidi="ar-SA"/>
        </w:rPr>
        <w:t>3.00</w:t>
      </w:r>
      <w:r>
        <w:rPr>
          <w:rStyle w:val="Style14"/>
          <w:rFonts w:ascii="Times New Roman" w:hAnsi="Times New Roman"/>
          <w:b/>
          <w:i w:val="false"/>
          <w:caps w:val="false"/>
          <w:smallCaps w:val="false"/>
          <w:color w:val="000000"/>
          <w:spacing w:val="0"/>
          <w:sz w:val="28"/>
          <w:szCs w:val="28"/>
          <w:lang w:val="uk-UA" w:eastAsia="en-US" w:bidi="ar-SA"/>
        </w:rPr>
        <w:t xml:space="preserve"> год.</w:t>
      </w:r>
      <w:r>
        <w:rPr>
          <w:rFonts w:ascii="Times New Roman" w:hAnsi="Times New Roman"/>
          <w:b w:val="false"/>
          <w:i w:val="false"/>
          <w:caps w:val="false"/>
          <w:smallCaps w:val="false"/>
          <w:color w:val="000000"/>
          <w:spacing w:val="0"/>
          <w:sz w:val="28"/>
          <w:szCs w:val="28"/>
          <w:lang w:val="uk-UA" w:eastAsia="en-US" w:bidi="ar-SA"/>
        </w:rPr>
        <w:t xml:space="preserve"> в приміщенні Покровської  міської ради за адресою:  53300, м. Покров, вул.Центральна, 48 на </w:t>
      </w:r>
      <w:r>
        <w:rPr>
          <w:rFonts w:ascii="Times New Roman" w:hAnsi="Times New Roman"/>
          <w:b w:val="false"/>
          <w:i w:val="false"/>
          <w:caps w:val="false"/>
          <w:smallCaps w:val="false"/>
          <w:color w:val="000000"/>
          <w:spacing w:val="0"/>
          <w:sz w:val="28"/>
          <w:szCs w:val="28"/>
          <w:lang w:val="uk-UA" w:eastAsia="en-US" w:bidi="ar-SA"/>
        </w:rPr>
        <w:t>другому</w:t>
      </w:r>
      <w:r>
        <w:rPr>
          <w:rFonts w:ascii="Times New Roman" w:hAnsi="Times New Roman"/>
          <w:b w:val="false"/>
          <w:i w:val="false"/>
          <w:caps w:val="false"/>
          <w:smallCaps w:val="false"/>
          <w:color w:val="000000"/>
          <w:spacing w:val="0"/>
          <w:sz w:val="28"/>
          <w:szCs w:val="28"/>
          <w:lang w:val="uk-UA" w:eastAsia="en-US" w:bidi="ar-SA"/>
        </w:rPr>
        <w:t xml:space="preserve"> поверсі міськвиконкому </w:t>
      </w:r>
      <w:r>
        <w:rPr>
          <w:rFonts w:ascii="Times New Roman" w:hAnsi="Times New Roman"/>
          <w:b w:val="false"/>
          <w:i w:val="false"/>
          <w:caps w:val="false"/>
          <w:smallCaps w:val="false"/>
          <w:color w:val="000000"/>
          <w:spacing w:val="0"/>
          <w:sz w:val="28"/>
          <w:szCs w:val="28"/>
          <w:lang w:val="uk-UA" w:eastAsia="uk-UA" w:bidi="ar-SA"/>
        </w:rPr>
        <w:t>в депутатській кімнаті.</w:t>
      </w:r>
    </w:p>
    <w:p>
      <w:pPr>
        <w:pStyle w:val="Style20"/>
        <w:widowControl/>
        <w:shd w:val="clear" w:color="auto" w:fill="FFFFFF"/>
        <w:spacing w:lineRule="auto" w:line="240" w:before="0" w:after="0"/>
        <w:ind w:left="0" w:right="0" w:hanging="0"/>
        <w:jc w:val="both"/>
        <w:rPr/>
      </w:pPr>
      <w:r>
        <w:rPr>
          <w:rStyle w:val="Style14"/>
          <w:rFonts w:eastAsia="Times New Roman" w:cs="Arial" w:ascii="Times New Roman" w:hAnsi="Times New Roman"/>
          <w:i w:val="false"/>
          <w:caps w:val="false"/>
          <w:smallCaps w:val="false"/>
          <w:color w:val="000000"/>
          <w:spacing w:val="0"/>
          <w:sz w:val="28"/>
          <w:szCs w:val="28"/>
          <w:lang w:val="uk-UA" w:eastAsia="en-US" w:bidi="ar-SA"/>
        </w:rPr>
        <w:t xml:space="preserve">8. Відомості про місцезнаходження комісії, контактні телефони: </w:t>
      </w:r>
      <w:r>
        <w:rPr>
          <w:rStyle w:val="Style14"/>
          <w:rFonts w:eastAsia="Times New Roman" w:cs="Arial" w:ascii="Times New Roman" w:hAnsi="Times New Roman"/>
          <w:b w:val="false"/>
          <w:bCs w:val="false"/>
          <w:i w:val="false"/>
          <w:caps w:val="false"/>
          <w:smallCaps w:val="false"/>
          <w:color w:val="000000"/>
          <w:spacing w:val="0"/>
          <w:sz w:val="28"/>
          <w:szCs w:val="28"/>
          <w:lang w:val="uk-UA" w:eastAsia="en-US" w:bidi="ar-SA"/>
        </w:rPr>
        <w:t xml:space="preserve">м. Покров, вул. Центральна, 48 телефони для довідок : (05667) 4-43-56; факс (05667) 4-17-61 </w:t>
      </w:r>
      <w:r>
        <w:rPr>
          <w:rStyle w:val="Style18"/>
          <w:rFonts w:eastAsia="Times New Roman" w:cs="Arial" w:ascii="Times New Roman" w:hAnsi="Times New Roman"/>
          <w:b w:val="false"/>
          <w:bCs w:val="false"/>
          <w:i w:val="false"/>
          <w:caps w:val="false"/>
          <w:smallCaps w:val="false"/>
          <w:color w:val="00000A"/>
          <w:spacing w:val="0"/>
          <w:sz w:val="28"/>
          <w:szCs w:val="28"/>
          <w:lang w:val="en-US" w:eastAsia="en-US" w:bidi="ar-SA"/>
        </w:rPr>
        <w:t>www</w:t>
      </w:r>
      <w:hyperlink r:id="rId2">
        <w:r>
          <w:rPr>
            <w:rStyle w:val="Style18"/>
            <w:rFonts w:eastAsia="Times New Roman" w:cs="Arial" w:ascii="Times New Roman" w:hAnsi="Times New Roman"/>
            <w:b w:val="false"/>
            <w:bCs w:val="false"/>
            <w:i w:val="false"/>
            <w:caps w:val="false"/>
            <w:smallCaps w:val="false"/>
            <w:color w:val="00000A"/>
            <w:spacing w:val="0"/>
            <w:sz w:val="28"/>
            <w:szCs w:val="28"/>
            <w:lang w:val="ru-RU" w:eastAsia="en-US" w:bidi="ar-SA"/>
          </w:rPr>
          <w:t xml:space="preserve">. </w:t>
        </w:r>
        <w:r>
          <w:rPr>
            <w:rStyle w:val="Style18"/>
            <w:rFonts w:eastAsia="Times New Roman" w:cs="Arial" w:ascii="Times New Roman" w:hAnsi="Times New Roman"/>
            <w:b w:val="false"/>
            <w:bCs w:val="false"/>
            <w:i w:val="false"/>
            <w:caps w:val="false"/>
            <w:smallCaps w:val="false"/>
            <w:color w:val="00000A"/>
            <w:spacing w:val="0"/>
            <w:sz w:val="28"/>
            <w:szCs w:val="28"/>
            <w:lang w:val="en-US" w:eastAsia="en-US" w:bidi="ar-SA"/>
          </w:rPr>
          <w:t>pkrv</w:t>
        </w:r>
        <w:r>
          <w:rPr>
            <w:rStyle w:val="Style18"/>
            <w:rFonts w:eastAsia="Times New Roman" w:cs="Arial" w:ascii="Times New Roman" w:hAnsi="Times New Roman"/>
            <w:b w:val="false"/>
            <w:bCs w:val="false"/>
            <w:i w:val="false"/>
            <w:caps w:val="false"/>
            <w:smallCaps w:val="false"/>
            <w:color w:val="00000A"/>
            <w:spacing w:val="0"/>
            <w:sz w:val="28"/>
            <w:szCs w:val="28"/>
            <w:lang w:val="ru-RU" w:eastAsia="en-US" w:bidi="ar-SA"/>
          </w:rPr>
          <w:t>.</w:t>
        </w:r>
        <w:r>
          <w:rPr>
            <w:rStyle w:val="Style18"/>
            <w:rFonts w:eastAsia="Times New Roman" w:cs="Arial" w:ascii="Times New Roman" w:hAnsi="Times New Roman"/>
            <w:b w:val="false"/>
            <w:bCs w:val="false"/>
            <w:i w:val="false"/>
            <w:caps w:val="false"/>
            <w:smallCaps w:val="false"/>
            <w:color w:val="00000A"/>
            <w:spacing w:val="0"/>
            <w:sz w:val="28"/>
            <w:szCs w:val="28"/>
            <w:lang w:val="en-US" w:eastAsia="en-US" w:bidi="ar-SA"/>
          </w:rPr>
          <w:t>dp</w:t>
        </w:r>
        <w:r>
          <w:rPr>
            <w:rStyle w:val="Style18"/>
            <w:rFonts w:eastAsia="Times New Roman" w:cs="Arial" w:ascii="Times New Roman" w:hAnsi="Times New Roman"/>
            <w:b w:val="false"/>
            <w:bCs w:val="false"/>
            <w:i w:val="false"/>
            <w:caps w:val="false"/>
            <w:smallCaps w:val="false"/>
            <w:color w:val="00000A"/>
            <w:spacing w:val="0"/>
            <w:sz w:val="28"/>
            <w:szCs w:val="28"/>
            <w:lang w:val="ru-RU" w:eastAsia="en-US" w:bidi="ar-SA"/>
          </w:rPr>
          <w:t>.</w:t>
        </w:r>
        <w:r>
          <w:rPr>
            <w:rStyle w:val="Style18"/>
            <w:rFonts w:eastAsia="Times New Roman" w:cs="Arial" w:ascii="Times New Roman" w:hAnsi="Times New Roman"/>
            <w:b w:val="false"/>
            <w:bCs w:val="false"/>
            <w:i w:val="false"/>
            <w:caps w:val="false"/>
            <w:smallCaps w:val="false"/>
            <w:color w:val="00000A"/>
            <w:spacing w:val="0"/>
            <w:sz w:val="28"/>
            <w:szCs w:val="28"/>
            <w:lang w:val="en-US" w:eastAsia="en-US" w:bidi="ar-SA"/>
          </w:rPr>
          <w:t>gov</w:t>
        </w:r>
        <w:r>
          <w:rPr>
            <w:rStyle w:val="Style18"/>
            <w:rFonts w:eastAsia="Times New Roman" w:cs="Arial" w:ascii="Times New Roman" w:hAnsi="Times New Roman"/>
            <w:b w:val="false"/>
            <w:bCs w:val="false"/>
            <w:i w:val="false"/>
            <w:caps w:val="false"/>
            <w:smallCaps w:val="false"/>
            <w:color w:val="00000A"/>
            <w:spacing w:val="0"/>
            <w:sz w:val="28"/>
            <w:szCs w:val="28"/>
            <w:lang w:val="ru-RU" w:eastAsia="en-US" w:bidi="ar-SA"/>
          </w:rPr>
          <w:t>.</w:t>
        </w:r>
        <w:r>
          <w:rPr>
            <w:rStyle w:val="Style18"/>
            <w:rFonts w:eastAsia="Times New Roman" w:cs="Arial" w:ascii="Times New Roman" w:hAnsi="Times New Roman"/>
            <w:b w:val="false"/>
            <w:bCs w:val="false"/>
            <w:i w:val="false"/>
            <w:caps w:val="false"/>
            <w:smallCaps w:val="false"/>
            <w:color w:val="00000A"/>
            <w:spacing w:val="0"/>
            <w:sz w:val="28"/>
            <w:szCs w:val="28"/>
            <w:lang w:val="en-US" w:eastAsia="en-US" w:bidi="ar-SA"/>
          </w:rPr>
          <w:t>ua</w:t>
        </w:r>
      </w:hyperlink>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  е-</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mail</w:t>
      </w:r>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 і</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nfo</w:t>
      </w:r>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pkrv</w:t>
      </w:r>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dp</w:t>
      </w:r>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gov</w:t>
      </w:r>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w:t>
      </w:r>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ua</w:t>
      </w:r>
      <w:r>
        <w:rPr>
          <w:rStyle w:val="Style14"/>
          <w:rFonts w:eastAsia="Times New Roman" w:cs="Arial" w:ascii="Times New Roman" w:hAnsi="Times New Roman"/>
          <w:b w:val="false"/>
          <w:bCs w:val="false"/>
          <w:i w:val="false"/>
          <w:caps w:val="false"/>
          <w:smallCaps w:val="false"/>
          <w:color w:val="000000"/>
          <w:spacing w:val="0"/>
          <w:sz w:val="28"/>
          <w:szCs w:val="28"/>
          <w:lang w:val="ru-RU" w:eastAsia="en-US" w:bidi="ar-SA"/>
        </w:rPr>
        <w:t>,</w:t>
      </w:r>
    </w:p>
    <w:sectPr>
      <w:type w:val="nextPage"/>
      <w:pgSz w:w="12240" w:h="15840"/>
      <w:pgMar w:left="1701" w:right="850" w:header="0" w:top="480" w:footer="0" w:bottom="2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Cambri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Виділення жирним"/>
    <w:qFormat/>
    <w:rPr>
      <w:b/>
      <w:bCs/>
    </w:rPr>
  </w:style>
  <w:style w:type="character" w:styleId="Style15">
    <w:name w:val="Текст выноски Знак"/>
    <w:qFormat/>
    <w:rPr>
      <w:rFonts w:ascii="Segoe UI" w:hAnsi="Segoe UI" w:eastAsia="Segoe UI"/>
      <w:sz w:val="18"/>
      <w:lang w:val="ru-RU"/>
    </w:rPr>
  </w:style>
  <w:style w:type="character" w:styleId="1">
    <w:name w:val="Заголовок 1 Знак"/>
    <w:qFormat/>
    <w:rPr>
      <w:rFonts w:ascii="Cambria" w:hAnsi="Cambria" w:eastAsia="Times New Roman"/>
      <w:b/>
      <w:kern w:val="2"/>
      <w:sz w:val="32"/>
    </w:rPr>
  </w:style>
  <w:style w:type="character" w:styleId="HTML">
    <w:name w:val="Стандартный HTML Знак"/>
    <w:qFormat/>
    <w:rPr>
      <w:rFonts w:ascii="Courier New" w:hAnsi="Courier New" w:eastAsia="Courier New"/>
    </w:rPr>
  </w:style>
  <w:style w:type="character" w:styleId="2">
    <w:name w:val="Знак Знак2"/>
    <w:qFormat/>
    <w:rPr>
      <w:sz w:val="28"/>
      <w:lang w:val="ru-RU"/>
    </w:rPr>
  </w:style>
  <w:style w:type="character" w:styleId="Style16">
    <w:name w:val="Основной текст с отступом Знак"/>
    <w:qFormat/>
    <w:rPr>
      <w:sz w:val="24"/>
      <w:lang w:val="ru-RU"/>
    </w:rPr>
  </w:style>
  <w:style w:type="character" w:styleId="21">
    <w:name w:val="Заголовок 2 Знак"/>
    <w:qFormat/>
    <w:rPr>
      <w:sz w:val="28"/>
      <w:lang w:val="ru-RU"/>
    </w:rPr>
  </w:style>
  <w:style w:type="character" w:styleId="Style17">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Style18">
    <w:name w:val="Гіперпосилання"/>
    <w:rPr>
      <w:color w:val="000080"/>
      <w:u w:val="single"/>
      <w:lang w:val="zxx" w:eastAsia="zxx" w:bidi="zxx"/>
    </w:rPr>
  </w:style>
  <w:style w:type="character" w:styleId="ListLabel1">
    <w:name w:val="ListLabel 1"/>
    <w:qFormat/>
    <w:rPr>
      <w:rFonts w:ascii="Times New Roman" w:hAnsi="Times New Roman" w:eastAsia="Times New Roman" w:cs="Arial"/>
      <w:b w:val="false"/>
      <w:bCs w:val="false"/>
      <w:i w:val="false"/>
      <w:caps w:val="false"/>
      <w:smallCaps w:val="false"/>
      <w:spacing w:val="0"/>
      <w:sz w:val="28"/>
      <w:szCs w:val="28"/>
      <w:lang w:val="en-US"/>
    </w:rPr>
  </w:style>
  <w:style w:type="character" w:styleId="ListLabel2">
    <w:name w:val="ListLabel 2"/>
    <w:qFormat/>
    <w:rPr>
      <w:rFonts w:ascii="Times New Roman" w:hAnsi="Times New Roman" w:eastAsia="Times New Roman" w:cs="Arial"/>
      <w:b w:val="false"/>
      <w:bCs w:val="false"/>
      <w:i w:val="false"/>
      <w:caps w:val="false"/>
      <w:smallCaps w:val="false"/>
      <w:spacing w:val="0"/>
      <w:sz w:val="28"/>
      <w:szCs w:val="28"/>
      <w:lang w:val="en-US"/>
    </w:rPr>
  </w:style>
  <w:style w:type="character" w:styleId="ListLabel8">
    <w:name w:val="ListLabel 8"/>
    <w:qFormat/>
    <w:rPr>
      <w:rFonts w:ascii="Times New Roman" w:hAnsi="Times New Roman" w:eastAsia="Times New Roman" w:cs="Arial"/>
      <w:color w:val="00000A"/>
      <w:sz w:val="28"/>
      <w:szCs w:val="28"/>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Style24">
    <w:name w:val="Вміст таблиці"/>
    <w:basedOn w:val="Normal"/>
    <w:qFormat/>
    <w:pPr>
      <w:suppressLineNumbers/>
    </w:pPr>
    <w:rPr/>
  </w:style>
  <w:style w:type="paragraph" w:styleId="Style25">
    <w:name w:val="Заголовок таблиці"/>
    <w:basedOn w:val="Style24"/>
    <w:qFormat/>
    <w:pPr>
      <w:suppressLineNumbers/>
      <w:jc w:val="center"/>
    </w:pPr>
    <w:rPr>
      <w:b/>
      <w:bCs/>
    </w:rPr>
  </w:style>
  <w:style w:type="paragraph" w:styleId="Style26">
    <w:name w:val="Заголовок таблицы"/>
    <w:qFormat/>
    <w:pPr>
      <w:widowControl/>
      <w:suppressAutoHyphens w:val="true"/>
      <w:bidi w:val="0"/>
      <w:jc w:val="center"/>
    </w:pPr>
    <w:rPr>
      <w:rFonts w:ascii="Times New Roman" w:hAnsi="Times New Roman" w:eastAsia="Times New Roman" w:cs=""/>
      <w:b/>
      <w:color w:val="000000"/>
      <w:kern w:val="0"/>
      <w:sz w:val="24"/>
      <w:szCs w:val="22"/>
      <w:lang w:val="ru-RU" w:eastAsia="ar-SA" w:bidi="ar-SA"/>
    </w:rPr>
  </w:style>
  <w:style w:type="paragraph" w:styleId="Style27">
    <w:name w:val="Содержимое таблицы"/>
    <w:basedOn w:val="Normal"/>
    <w:qFormat/>
    <w:pPr>
      <w:widowControl/>
      <w:suppressAutoHyphens w:val="true"/>
      <w:bidi w:val="0"/>
      <w:jc w:val="left"/>
    </w:pPr>
    <w:rPr>
      <w:rFonts w:ascii="Times New Roman" w:hAnsi="Times New Roman" w:eastAsia="Times New Roman"/>
      <w:color w:val="000000"/>
      <w:sz w:val="24"/>
      <w:lang w:val="ru-RU" w:eastAsia="ar-SA"/>
    </w:rPr>
  </w:style>
  <w:style w:type="paragraph" w:styleId="Style28">
    <w:name w:val="Содержимое врезки"/>
    <w:basedOn w:val="Normal"/>
    <w:qFormat/>
    <w:pPr>
      <w:widowControl/>
      <w:suppressAutoHyphens w:val="true"/>
      <w:bidi w:val="0"/>
      <w:jc w:val="left"/>
    </w:pPr>
    <w:rPr>
      <w:rFonts w:ascii="Times New Roman" w:hAnsi="Times New Roman" w:eastAsia="Times New Roman"/>
      <w:color w:val="000000"/>
      <w:sz w:val="24"/>
      <w:lang w:val="ru-RU" w:eastAsia="ar-SA"/>
    </w:rPr>
  </w:style>
  <w:style w:type="paragraph" w:styleId="Style29">
    <w:name w:val="Текст выноски"/>
    <w:basedOn w:val="Normal"/>
    <w:qFormat/>
    <w:pPr>
      <w:widowControl/>
      <w:suppressAutoHyphens w:val="true"/>
      <w:bidi w:val="0"/>
      <w:jc w:val="left"/>
    </w:pPr>
    <w:rPr>
      <w:rFonts w:ascii="Segoe UI" w:hAnsi="Segoe UI" w:eastAsia="Segoe UI"/>
      <w:color w:val="000000"/>
      <w:sz w:val="18"/>
      <w:lang w:val="ru-RU" w:eastAsia="ar-SA"/>
    </w:rPr>
  </w:style>
  <w:style w:type="paragraph" w:styleId="HTML1">
    <w:name w:val="Стандартный HTML"/>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jc w:val="left"/>
    </w:pPr>
    <w:rPr>
      <w:rFonts w:ascii="Courier New" w:hAnsi="Courier New" w:eastAsia="Courier New"/>
      <w:color w:val="000000"/>
      <w:sz w:val="20"/>
      <w:lang w:val="uk-UA" w:eastAsia="ar-SA"/>
    </w:rPr>
  </w:style>
  <w:style w:type="paragraph" w:styleId="Style30">
    <w:name w:val="Знак"/>
    <w:basedOn w:val="Normal"/>
    <w:qFormat/>
    <w:pPr>
      <w:widowControl/>
      <w:suppressAutoHyphens w:val="true"/>
      <w:bidi w:val="0"/>
      <w:jc w:val="left"/>
    </w:pPr>
    <w:rPr>
      <w:rFonts w:ascii="Verdana" w:hAnsi="Verdana" w:eastAsia="Verdana"/>
      <w:color w:val="000000"/>
      <w:sz w:val="20"/>
      <w:lang w:val="en-US" w:eastAsia="ar-SA"/>
    </w:rPr>
  </w:style>
  <w:style w:type="paragraph" w:styleId="Style31">
    <w:name w:val="Знак Знак Знак Знак"/>
    <w:basedOn w:val="Normal"/>
    <w:qFormat/>
    <w:pPr>
      <w:widowControl/>
      <w:suppressAutoHyphens w:val="true"/>
      <w:bidi w:val="0"/>
      <w:jc w:val="left"/>
    </w:pPr>
    <w:rPr>
      <w:rFonts w:ascii="Verdana" w:hAnsi="Verdana" w:eastAsia="Verdana"/>
      <w:color w:val="000000"/>
      <w:sz w:val="20"/>
      <w:lang w:val="en-US" w:eastAsia="ar-SA"/>
    </w:rPr>
  </w:style>
  <w:style w:type="paragraph" w:styleId="Style32">
    <w:name w:val="Название объекта"/>
    <w:basedOn w:val="Normal"/>
    <w:qFormat/>
    <w:pPr>
      <w:widowControl/>
      <w:suppressAutoHyphens w:val="true"/>
      <w:bidi w:val="0"/>
      <w:jc w:val="center"/>
    </w:pPr>
    <w:rPr>
      <w:rFonts w:ascii="Times New Roman" w:hAnsi="Times New Roman" w:eastAsia="Times New Roman"/>
      <w:b/>
      <w:color w:val="000000"/>
      <w:sz w:val="24"/>
      <w:lang w:val="uk-UA" w:eastAsia="ar-SA"/>
    </w:rPr>
  </w:style>
  <w:style w:type="paragraph" w:styleId="Style33">
    <w:name w:val="Указатель"/>
    <w:basedOn w:val="Normal"/>
    <w:qFormat/>
    <w:pPr>
      <w:widowControl/>
      <w:suppressAutoHyphens w:val="true"/>
      <w:bidi w:val="0"/>
      <w:jc w:val="left"/>
    </w:pPr>
    <w:rPr>
      <w:rFonts w:ascii="Times New Roman" w:hAnsi="Times New Roman" w:eastAsia="Lohit Devanagari"/>
      <w:color w:val="000000"/>
      <w:sz w:val="24"/>
      <w:lang w:val="ru-RU" w:eastAsia="ar-SA"/>
    </w:rPr>
  </w:style>
  <w:style w:type="paragraph" w:styleId="Style34">
    <w:name w:val="Название"/>
    <w:basedOn w:val="Normal"/>
    <w:qFormat/>
    <w:pPr>
      <w:widowControl/>
      <w:suppressAutoHyphens w:val="true"/>
      <w:bidi w:val="0"/>
      <w:spacing w:before="120" w:after="120"/>
      <w:jc w:val="left"/>
    </w:pPr>
    <w:rPr>
      <w:rFonts w:ascii="Times New Roman" w:hAnsi="Times New Roman" w:eastAsia="Lohit Devanagari"/>
      <w:i/>
      <w:color w:val="000000"/>
      <w:sz w:val="24"/>
      <w:lang w:val="ru-RU"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krov-mr.gov.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LibreOffice/6.0.1.1$Windows_x86 LibreOffice_project/60bfb1526849283ce2491346ed2aa51c465abfe6</Application>
  <Pages>4</Pages>
  <Words>965</Words>
  <Characters>6351</Characters>
  <CharactersWithSpaces>7415</CharactersWithSpaces>
  <Paragraphs>58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2018-01-29T12:39:00Z</dcterms:created>
  <dc:creator>Пользователь Windows</dc:creator>
  <dc:description/>
  <dc:language>uk-UA</dc:language>
  <cp:lastModifiedBy/>
  <cp:lastPrinted>2018-05-21T14:08:33Z</cp:lastPrinted>
  <dcterms:modified xsi:type="dcterms:W3CDTF">2020-03-24T16:47:35Z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