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bookmark9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ТЕСТ малого підприємництва</w:t>
      </w:r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(М-Тест)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Консультації щодо визначення впливу запропонованого регулювання на суб’єктів малого підприємництва та детального переліку про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цедур, виконання яких необхідне для здійснення </w:t>
      </w:r>
      <w:r>
        <w:rPr>
          <w:rFonts w:eastAsia="Times New Roman" w:cs="Times New Roman" w:ascii="Times New Roman" w:hAnsi="Times New Roman"/>
          <w:spacing w:val="-30"/>
          <w:sz w:val="28"/>
          <w:szCs w:val="28"/>
          <w:shd w:fill="auto" w:val="clear"/>
          <w:lang w:eastAsia="ru-RU"/>
        </w:rPr>
        <w:t>регулювання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, проведені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ru-RU"/>
        </w:rPr>
        <w:t>з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ru-RU"/>
        </w:rPr>
        <w:t>11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.0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.2021 по 14.0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.2021 р.</w:t>
      </w:r>
    </w:p>
    <w:p>
      <w:pPr>
        <w:pStyle w:val="Normal"/>
        <w:spacing w:lineRule="auto" w:line="240" w:before="0" w:after="0"/>
        <w:rPr>
          <w:sz w:val="16"/>
          <w:szCs w:val="28"/>
        </w:rPr>
      </w:pPr>
      <w:r>
        <w:rPr>
          <w:sz w:val="16"/>
          <w:szCs w:val="28"/>
        </w:rPr>
      </w:r>
    </w:p>
    <w:tbl>
      <w:tblPr>
        <w:tblStyle w:val="a3"/>
        <w:tblW w:w="99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0"/>
        <w:gridCol w:w="3975"/>
        <w:gridCol w:w="1702"/>
        <w:gridCol w:w="3574"/>
      </w:tblGrid>
      <w:tr>
        <w:trPr/>
        <w:tc>
          <w:tcPr>
            <w:tcW w:w="6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br/>
              <w:t xml:space="preserve"> п/п</w:t>
            </w:r>
          </w:p>
        </w:tc>
        <w:tc>
          <w:tcPr>
            <w:tcW w:w="397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Вид консультацій</w:t>
            </w:r>
          </w:p>
        </w:tc>
        <w:tc>
          <w:tcPr>
            <w:tcW w:w="170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Кількість учасників осіб</w:t>
            </w:r>
          </w:p>
        </w:tc>
        <w:tc>
          <w:tcPr>
            <w:tcW w:w="35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Основні результати консультац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uk-UA" w:eastAsia="ru-RU" w:bidi="ar-SA"/>
              </w:rPr>
              <w:t>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й (опис)</w:t>
            </w:r>
          </w:p>
        </w:tc>
      </w:tr>
      <w:tr>
        <w:trPr/>
        <w:tc>
          <w:tcPr>
            <w:tcW w:w="6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1</w:t>
            </w:r>
          </w:p>
        </w:tc>
        <w:tc>
          <w:tcPr>
            <w:tcW w:w="397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Р</w:t>
            </w: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eastAsia="en-US" w:bidi="ar-SA"/>
              </w:rPr>
              <w:t>обоч</w:t>
            </w: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а</w:t>
            </w: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eastAsia="en-US" w:bidi="ar-SA"/>
              </w:rPr>
              <w:t xml:space="preserve"> нарад</w:t>
            </w: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а</w:t>
            </w:r>
            <w:r>
              <w:rPr>
                <w:rFonts w:cs="Times New Roman" w:ascii="Times New Roman" w:hAnsi="Times New Roman"/>
                <w:kern w:val="0"/>
                <w:sz w:val="24"/>
                <w:szCs w:val="28"/>
                <w:lang w:eastAsia="en-US" w:bidi="ar-SA"/>
              </w:rPr>
              <w:t xml:space="preserve"> з питань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 xml:space="preserve"> встановлення тарифів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 xml:space="preserve"> ва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en-US" w:eastAsia="ru-RU" w:bidi="ar-SA"/>
              </w:rPr>
              <w:t>р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>тост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uk-UA" w:eastAsia="ru-RU" w:bidi="ar-SA"/>
              </w:rPr>
              <w:t xml:space="preserve">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uk-UA" w:eastAsia="ru-RU" w:bidi="ar-SA"/>
              </w:rPr>
              <w:t>проїзду пасажирів на автобусних міських маршрутах загального користування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.</w:t>
            </w:r>
          </w:p>
        </w:tc>
        <w:tc>
          <w:tcPr>
            <w:tcW w:w="170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uk-UA" w:eastAsia="ru-RU" w:bidi="ar-SA"/>
              </w:rPr>
              <w:t>6</w:t>
            </w:r>
          </w:p>
        </w:tc>
        <w:tc>
          <w:tcPr>
            <w:tcW w:w="35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Визначення оптимального розміру нового тарифу на послуги з пасажирських перевезень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2.Вимірювання впливу регулювання на суб’єктів мікро та малого підприємництва: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кількість суб’єктів господарювання, на яких поширюється регулювання: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одиниці, питома вага яких складає 100%.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Розрахунок витрат суб’єктів малого та мікро підприємництва на виконання вимог регулювання.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Маршрутна мережа міста складається із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8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автобусних маршрутів, які обслуговує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 автобус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ів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Витрати, що несе перевізник при затвердженні даного рішення на одиницю задіяного транспорту становлять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5 г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рн. (оновлення в салонах транспортних засобів інформацію про зміну вартості проїзду).</w:t>
      </w:r>
    </w:p>
    <w:p>
      <w:pPr>
        <w:pStyle w:val="Normal"/>
        <w:spacing w:lineRule="auto" w:line="240" w:before="0" w:after="0"/>
        <w:ind w:firstLine="708"/>
        <w:jc w:val="both"/>
        <w:rPr>
          <w:sz w:val="20"/>
          <w:szCs w:val="28"/>
        </w:rPr>
      </w:pPr>
      <w:r>
        <w:rPr>
          <w:sz w:val="20"/>
          <w:szCs w:val="28"/>
        </w:rPr>
      </w:r>
    </w:p>
    <w:tbl>
      <w:tblPr>
        <w:tblStyle w:val="a3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4536"/>
        <w:gridCol w:w="2394"/>
        <w:gridCol w:w="1857"/>
      </w:tblGrid>
      <w:tr>
        <w:trPr/>
        <w:tc>
          <w:tcPr>
            <w:tcW w:w="95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п/п</w:t>
            </w:r>
          </w:p>
        </w:tc>
        <w:tc>
          <w:tcPr>
            <w:tcW w:w="453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Витрати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За перший рік</w:t>
            </w:r>
          </w:p>
        </w:tc>
        <w:tc>
          <w:tcPr>
            <w:tcW w:w="185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За два роки</w:t>
            </w:r>
          </w:p>
        </w:tc>
      </w:tr>
      <w:tr>
        <w:trPr/>
        <w:tc>
          <w:tcPr>
            <w:tcW w:w="95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453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Витрати на оборотні активи </w:t>
              <w:br/>
              <w:t>(5 грн.*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2 автобуса = 110 грн.)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6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0,00</w:t>
            </w:r>
          </w:p>
        </w:tc>
        <w:tc>
          <w:tcPr>
            <w:tcW w:w="185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20,00</w:t>
            </w:r>
          </w:p>
        </w:tc>
      </w:tr>
      <w:tr>
        <w:trPr/>
        <w:tc>
          <w:tcPr>
            <w:tcW w:w="549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Разом витрат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6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0,00</w:t>
            </w:r>
          </w:p>
        </w:tc>
        <w:tc>
          <w:tcPr>
            <w:tcW w:w="185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20,00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Бюджетні витрати на адміністрування регулювання суб’єктів малого підприємництва.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Державне регулювання рішення не передбачає утворення нового структурного підрозділу. Орган, який несе витрати пов’язані з розробкою регуляторного акта, контролем за його виконанням, проведенням аналізу та заходів по відстеженню результативності регуляторного акта – відділ транспорту та зв'язку виконавчого комітету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Покровсько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ї міської ради.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Строк, який займають усі етапи прийняття регуляторного акта здійснюється відповідно до вимог Закону України від 11.09.2003 №1160-ІV «Про засади державної регуляторної політики у сфері господарської діяльності» та з урахуванням Методики проведення аналізу впливу регуляторного акта, затвердженої Постановою Кабінету Міністрів України від 11.03.2004 № 308 (зі змінами, затвердженими Постановою Кабінету Міністрів України від 16.12.2015 № 1151).</w:t>
      </w:r>
    </w:p>
    <w:p>
      <w:pPr>
        <w:pStyle w:val="Normal"/>
        <w:spacing w:lineRule="auto" w:line="240" w:before="0" w:after="0"/>
        <w:rPr>
          <w:sz w:val="16"/>
          <w:szCs w:val="28"/>
        </w:rPr>
      </w:pPr>
      <w:r>
        <w:rPr>
          <w:sz w:val="16"/>
          <w:szCs w:val="28"/>
        </w:rPr>
      </w:r>
    </w:p>
    <w:tbl>
      <w:tblPr>
        <w:tblStyle w:val="a3"/>
        <w:tblW w:w="9870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17"/>
        <w:gridCol w:w="1416"/>
        <w:gridCol w:w="1916"/>
        <w:gridCol w:w="1306"/>
        <w:gridCol w:w="1527"/>
        <w:gridCol w:w="1"/>
        <w:gridCol w:w="1487"/>
      </w:tblGrid>
      <w:tr>
        <w:trPr/>
        <w:tc>
          <w:tcPr>
            <w:tcW w:w="221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Процедура регулювання суб’єктів малого й мікро підприємництва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Планові витрати часу на пр</w:t>
            </w:r>
            <w:r>
              <w:rPr>
                <w:rFonts w:eastAsia="Times New Roman" w:cs="Times New Roman" w:ascii="Times New Roman" w:hAnsi="Times New Roman"/>
                <w:spacing w:val="-30"/>
                <w:kern w:val="0"/>
                <w:sz w:val="24"/>
                <w:szCs w:val="24"/>
                <w:lang w:eastAsia="ru-RU" w:bidi="ar-SA"/>
              </w:rPr>
              <w:t>оцед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уру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(години)</w:t>
            </w:r>
          </w:p>
        </w:tc>
        <w:tc>
          <w:tcPr>
            <w:tcW w:w="191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Вартість часу співробітника органу державної влади відповідної категорії (заробітна плата) грн./година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Оцінка кількості процедур за рік</w:t>
            </w:r>
          </w:p>
        </w:tc>
        <w:tc>
          <w:tcPr>
            <w:tcW w:w="152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 xml:space="preserve">Витрати на </w:t>
            </w:r>
            <w:r>
              <w:rPr>
                <w:rFonts w:eastAsia="Times New Roman" w:cs="Times New Roman" w:ascii="Times New Roman" w:hAnsi="Times New Roman"/>
                <w:spacing w:val="-30"/>
                <w:kern w:val="0"/>
                <w:sz w:val="24"/>
                <w:szCs w:val="24"/>
                <w:lang w:eastAsia="ru-RU" w:bidi="ar-SA"/>
              </w:rPr>
              <w:t>адміністрування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0"/>
                <w:kern w:val="0"/>
                <w:sz w:val="24"/>
                <w:szCs w:val="24"/>
                <w:lang w:eastAsia="ru-RU" w:bidi="ar-SA"/>
              </w:rPr>
              <w:t>регулювання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(за рік) грн</w:t>
            </w:r>
          </w:p>
        </w:tc>
        <w:tc>
          <w:tcPr>
            <w:tcW w:w="148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 xml:space="preserve">Витрати на адміністрування </w:t>
            </w:r>
            <w:r>
              <w:rPr>
                <w:rFonts w:eastAsia="Times New Roman" w:cs="Times New Roman" w:ascii="Times New Roman" w:hAnsi="Times New Roman"/>
                <w:spacing w:val="-30"/>
                <w:kern w:val="0"/>
                <w:sz w:val="24"/>
                <w:szCs w:val="24"/>
                <w:lang w:eastAsia="ru-RU" w:bidi="ar-SA"/>
              </w:rPr>
              <w:t>регулювання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(за 2 роки) грн</w:t>
            </w:r>
          </w:p>
        </w:tc>
      </w:tr>
      <w:tr>
        <w:trPr/>
        <w:tc>
          <w:tcPr>
            <w:tcW w:w="22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 xml:space="preserve">Підготовка, організація обговорення та надання на затвердження 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виконкому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70</w:t>
            </w:r>
          </w:p>
        </w:tc>
        <w:tc>
          <w:tcPr>
            <w:tcW w:w="191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37,5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52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2625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,00</w:t>
            </w:r>
          </w:p>
        </w:tc>
        <w:tc>
          <w:tcPr>
            <w:tcW w:w="148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5250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,0</w:t>
            </w:r>
          </w:p>
        </w:tc>
      </w:tr>
      <w:tr>
        <w:trPr/>
        <w:tc>
          <w:tcPr>
            <w:tcW w:w="22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 xml:space="preserve">Проведення процедур з перевірки </w:t>
            </w:r>
            <w:r>
              <w:rPr>
                <w:rFonts w:eastAsia="Times New Roman" w:cs="Times New Roman" w:ascii="Times New Roman" w:hAnsi="Times New Roman"/>
                <w:spacing w:val="-30"/>
                <w:kern w:val="0"/>
                <w:sz w:val="24"/>
                <w:szCs w:val="24"/>
                <w:lang w:eastAsia="ru-RU" w:bidi="ar-SA"/>
              </w:rPr>
              <w:t xml:space="preserve">результативності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дії регуляторного акта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20</w:t>
            </w:r>
          </w:p>
        </w:tc>
        <w:tc>
          <w:tcPr>
            <w:tcW w:w="191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37,5</w:t>
            </w:r>
          </w:p>
        </w:tc>
        <w:tc>
          <w:tcPr>
            <w:tcW w:w="130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52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750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,00</w:t>
            </w:r>
          </w:p>
        </w:tc>
        <w:tc>
          <w:tcPr>
            <w:tcW w:w="148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1500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,0</w:t>
            </w:r>
          </w:p>
        </w:tc>
      </w:tr>
      <w:tr>
        <w:trPr/>
        <w:tc>
          <w:tcPr>
            <w:tcW w:w="6855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Разом за рік*</w:t>
            </w:r>
          </w:p>
        </w:tc>
        <w:tc>
          <w:tcPr>
            <w:tcW w:w="152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3375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,00</w:t>
            </w:r>
          </w:p>
        </w:tc>
        <w:tc>
          <w:tcPr>
            <w:tcW w:w="148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6750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8382" w:type="dxa"/>
            <w:gridSpan w:val="5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* Вартість витрат, пов’язаних з адмініструванням процесу регулювання державними органами, визначається шляхом множення фактичних витрат часу персоналу на заробітну плату спеціаліста відповідної кваліфікації, та на кількість процедур за рік.</w:t>
            </w:r>
          </w:p>
        </w:tc>
        <w:tc>
          <w:tcPr>
            <w:tcW w:w="148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Посадовими обов’язками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начальника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відділу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транспорту та зв’язку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передбачено здійснення на вищенаведеної зазначеної діяльності, тобто додаткових витрат на адміністрування регулювання не передбачається.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Розрахунок сумарних витрат суб’єктів малого та мікро підприємництва, що виникають на виконання вимог регулювання.</w:t>
      </w:r>
    </w:p>
    <w:p>
      <w:pPr>
        <w:pStyle w:val="Normal"/>
        <w:spacing w:lineRule="auto" w:line="240" w:before="0" w:after="0"/>
        <w:ind w:firstLine="708"/>
        <w:jc w:val="both"/>
        <w:rPr>
          <w:sz w:val="20"/>
          <w:szCs w:val="28"/>
        </w:rPr>
      </w:pPr>
      <w:r>
        <w:rPr>
          <w:sz w:val="20"/>
          <w:szCs w:val="28"/>
        </w:rPr>
      </w:r>
    </w:p>
    <w:tbl>
      <w:tblPr>
        <w:tblStyle w:val="a3"/>
        <w:tblW w:w="96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5391"/>
        <w:gridCol w:w="1928"/>
        <w:gridCol w:w="1617"/>
      </w:tblGrid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п/п</w:t>
            </w:r>
          </w:p>
        </w:tc>
        <w:tc>
          <w:tcPr>
            <w:tcW w:w="539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Показник</w:t>
            </w:r>
          </w:p>
        </w:tc>
        <w:tc>
          <w:tcPr>
            <w:tcW w:w="19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Перший рік регулювання, грн.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За два роки,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грн.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1</w:t>
            </w:r>
          </w:p>
        </w:tc>
        <w:tc>
          <w:tcPr>
            <w:tcW w:w="53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Сумарні витрати суб’єктів малого та мікро підприємництва на виконання запланованого регулювання</w:t>
            </w:r>
          </w:p>
        </w:tc>
        <w:tc>
          <w:tcPr>
            <w:tcW w:w="19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uk-UA" w:eastAsia="ru-RU" w:bidi="ar-SA"/>
              </w:rPr>
              <w:t>6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0,00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uk-UA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20,00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2</w:t>
            </w:r>
          </w:p>
        </w:tc>
        <w:tc>
          <w:tcPr>
            <w:tcW w:w="53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Бюджетні витрати на адміністрування регулювання суб’єктів малого та мікро підприємництва</w:t>
            </w:r>
          </w:p>
        </w:tc>
        <w:tc>
          <w:tcPr>
            <w:tcW w:w="19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uk-UA" w:eastAsia="ru-RU" w:bidi="ar-SA"/>
              </w:rPr>
              <w:t>3375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>,00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uk-UA" w:eastAsia="ru-RU" w:bidi="ar-SA"/>
              </w:rPr>
              <w:t>6750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3</w:t>
            </w:r>
          </w:p>
        </w:tc>
        <w:tc>
          <w:tcPr>
            <w:tcW w:w="53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Сумарні витрати на виконання запланованого регулювання (рядки 1+2)</w:t>
            </w:r>
          </w:p>
        </w:tc>
        <w:tc>
          <w:tcPr>
            <w:tcW w:w="19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val="uk-UA" w:eastAsia="ru-RU" w:bidi="ar-SA"/>
              </w:rPr>
              <w:t>3435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,00</w:t>
            </w:r>
          </w:p>
        </w:tc>
        <w:tc>
          <w:tcPr>
            <w:tcW w:w="161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8"/>
                <w:lang w:eastAsia="ru-RU" w:bidi="ar-SA"/>
              </w:rPr>
              <w:t>6870,00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Розроблення коригуючих (пом’якшувальних) заходів для малого підприємництва щодо запропонованого регулювання.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суб’єктів підприємництва, що працюють в транспортній галузі, кор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гуючим (пом’якшувальним) заходом є можливість коригування тарифів на послуги з перевезення пасажирів та багажу автобусними маршрутами загального користування, розрахунок яких виконано відповідно Методики, що створить умови для захисту автоперевізників від провадження збиткової господарської діяльності, його коригування в спосіб, визначений чинним законодавством України.</w:t>
      </w:r>
    </w:p>
    <w:p>
      <w:pPr>
        <w:pStyle w:val="Normal"/>
        <w:spacing w:before="0" w:after="160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74" w:right="567" w:header="567" w:top="1842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1"/>
      <w:spacing w:before="0" w:after="220"/>
      <w:ind w:hanging="0"/>
      <w:jc w:val="center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/>
        <w:color w:val="000000"/>
        <w:sz w:val="16"/>
        <w:szCs w:val="1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1"/>
      <w:spacing w:before="0" w:after="220"/>
      <w:ind w:hanging="0"/>
      <w:jc w:val="center"/>
      <w:rPr>
        <w:rFonts w:ascii="Times New Roman" w:hAnsi="Times New Roman" w:eastAsia="Times New Roman" w:cs="Times New Roman"/>
        <w:color w:val="000000"/>
        <w:sz w:val="16"/>
        <w:szCs w:val="16"/>
      </w:rPr>
    </w:pPr>
    <w:r>
      <w:rPr>
        <w:rFonts w:eastAsia="Times New Roman" w:cs="Times New Roman"/>
        <w:color w:val="000000"/>
        <w:sz w:val="16"/>
        <w:szCs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59" w:before="0" w:after="0"/>
      <w:ind w:left="6180" w:right="0" w:hanging="0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54b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Style13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Times New Roman" w:hAnsi="Times New Roman" w:cs="Lucida Sans"/>
      <w:sz w:val="24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ohit Devanagari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Lucida Sans"/>
      <w:sz w:val="24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0">
    <w:name w:val="Верхній і нижній колонтитули"/>
    <w:basedOn w:val="Normal"/>
    <w:qFormat/>
    <w:pPr/>
    <w:rPr/>
  </w:style>
  <w:style w:type="paragraph" w:styleId="Style21">
    <w:name w:val="Header"/>
    <w:basedOn w:val="Style19"/>
    <w:pPr>
      <w:suppressLineNumbers/>
    </w:pPr>
    <w:rPr/>
  </w:style>
  <w:style w:type="paragraph" w:styleId="11">
    <w:name w:val="Основной текст1"/>
    <w:basedOn w:val="Normal"/>
    <w:qFormat/>
    <w:pPr>
      <w:spacing w:before="0" w:after="100"/>
      <w:ind w:firstLine="20"/>
    </w:pPr>
    <w:rPr>
      <w:rFonts w:ascii="Times New Roman" w:hAnsi="Times New Roman" w:eastAsia="Times New Roman" w:cs="Times New Roman"/>
      <w:sz w:val="16"/>
      <w:szCs w:val="16"/>
    </w:rPr>
  </w:style>
  <w:style w:type="paragraph" w:styleId="Style22">
    <w:name w:val="Subtitle"/>
    <w:basedOn w:val="Style13"/>
    <w:qFormat/>
    <w:pPr>
      <w:spacing w:before="60" w:after="120"/>
      <w:jc w:val="center"/>
    </w:pPr>
    <w:rPr>
      <w:sz w:val="36"/>
      <w:szCs w:val="36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e5f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E2AE3-9877-4674-AF2B-0FE3A66F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LibreOffice/7.1.0.3$Windows_X86_64 LibreOffice_project/f6099ecf3d29644b5008cc8f48f42f4a40986e4c</Application>
  <AppVersion>15.0000</AppVersion>
  <Pages>3</Pages>
  <Words>533</Words>
  <Characters>3753</Characters>
  <CharactersWithSpaces>4216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2019-12-23T13:45:00Z</dcterms:created>
  <dc:creator>user</dc:creator>
  <dc:description/>
  <dc:language>uk-UA</dc:language>
  <cp:lastModifiedBy/>
  <cp:lastPrinted>2021-05-07T14:15:01Z</cp:lastPrinted>
  <dcterms:modified xsi:type="dcterms:W3CDTF">2021-07-12T12:03:18Z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