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shd w:fill="FFFFFF"/>
        <w:spacing w:lineRule="auto" w:line="276" w:before="0" w:after="140"/>
        <w:ind w:left="0" w:right="-57" w:hanging="0"/>
        <w:contextualSpacing/>
        <w:jc w:val="center"/>
        <w:rPr>
          <w:lang w:val="uk-UA"/>
        </w:rPr>
      </w:pPr>
      <w:r>
        <w:rPr>
          <w:rFonts w:eastAsia="Times New Roman" w:cs="Times New Roman" w:ascii="Times New Roman" w:hAnsi="Times New Roman"/>
          <w:b/>
          <w:bCs/>
          <w:i w:val="false"/>
          <w:iCs w:val="false"/>
          <w:caps w:val="false"/>
          <w:smallCaps w:val="false"/>
          <w:strike w:val="false"/>
          <w:dstrike w:val="false"/>
          <w:color w:val="000000"/>
          <w:spacing w:val="1"/>
          <w:sz w:val="28"/>
          <w:szCs w:val="28"/>
          <w:u w:val="none"/>
          <w:lang w:val="uk-UA" w:bidi="ar-SA"/>
        </w:rPr>
        <w:t>П</w:t>
      </w:r>
      <w:r>
        <w:rPr>
          <w:rFonts w:cs="Times New Roman" w:ascii="Times New Roman" w:hAnsi="Times New Roman"/>
          <w:b/>
          <w:bCs/>
          <w:i w:val="false"/>
          <w:caps w:val="false"/>
          <w:smallCaps w:val="false"/>
          <w:strike w:val="false"/>
          <w:dstrike w:val="false"/>
          <w:color w:val="000000"/>
          <w:spacing w:val="1"/>
          <w:sz w:val="28"/>
          <w:szCs w:val="28"/>
          <w:lang w:val="uk-UA"/>
        </w:rPr>
        <w:t>орядок денний</w:t>
      </w:r>
    </w:p>
    <w:p>
      <w:pPr>
        <w:pStyle w:val="Normal"/>
        <w:shd w:val="clear" w:fill="FFFFFF"/>
        <w:bidi w:val="0"/>
        <w:spacing w:lineRule="atLeast" w:line="0" w:before="0" w:after="140"/>
        <w:ind w:left="0" w:right="-57" w:hanging="0"/>
        <w:contextualSpacing/>
        <w:jc w:val="center"/>
        <w:rPr>
          <w:color w:val="000000"/>
        </w:rPr>
      </w:pPr>
      <w:r>
        <w:rPr>
          <w:rFonts w:ascii="Times New Roman" w:hAnsi="Times New Roman"/>
          <w:b/>
          <w:bCs/>
          <w:i w:val="false"/>
          <w:caps w:val="false"/>
          <w:smallCaps w:val="false"/>
          <w:color w:val="000000"/>
          <w:spacing w:val="0"/>
          <w:sz w:val="28"/>
        </w:rPr>
        <w:t>засідання виконавчого комітету Покровської міської ради</w:t>
      </w:r>
      <w:r>
        <w:rPr>
          <w:rFonts w:eastAsia="Times New Roman" w:cs="Times New Roman" w:ascii="Times New Roman" w:hAnsi="Times New Roman"/>
          <w:b/>
          <w:bCs/>
          <w:i w:val="false"/>
          <w:caps w:val="false"/>
          <w:smallCaps w:val="false"/>
          <w:strike w:val="false"/>
          <w:dstrike w:val="false"/>
          <w:color w:val="000000"/>
          <w:spacing w:val="1"/>
          <w:sz w:val="28"/>
          <w:szCs w:val="28"/>
          <w:lang w:val="uk-UA" w:bidi="ar-SA"/>
        </w:rPr>
        <w:t xml:space="preserve"> </w:t>
      </w:r>
      <w:r>
        <w:rPr>
          <w:rFonts w:eastAsia="Times New Roman" w:cs="Times New Roman" w:ascii="Times New Roman" w:hAnsi="Times New Roman"/>
          <w:b/>
          <w:bCs/>
          <w:i w:val="false"/>
          <w:caps w:val="false"/>
          <w:smallCaps w:val="false"/>
          <w:strike w:val="false"/>
          <w:dstrike w:val="false"/>
          <w:color w:val="000000"/>
          <w:spacing w:val="1"/>
          <w:kern w:val="2"/>
          <w:sz w:val="28"/>
          <w:szCs w:val="28"/>
          <w:lang w:val="uk-UA" w:eastAsia="zh-CN" w:bidi="ar-SA"/>
        </w:rPr>
        <w:t>22.</w:t>
      </w:r>
      <w:r>
        <w:rPr>
          <w:rFonts w:eastAsia="Times New Roman" w:cs="Times New Roman" w:ascii="Times New Roman" w:hAnsi="Times New Roman"/>
          <w:b/>
          <w:bCs/>
          <w:i w:val="false"/>
          <w:caps w:val="false"/>
          <w:smallCaps w:val="false"/>
          <w:strike w:val="false"/>
          <w:dstrike w:val="false"/>
          <w:color w:val="000000"/>
          <w:spacing w:val="1"/>
          <w:kern w:val="2"/>
          <w:sz w:val="28"/>
          <w:szCs w:val="28"/>
          <w:lang w:val="uk-UA" w:eastAsia="zh-CN" w:bidi="ar-SA"/>
        </w:rPr>
        <w:t>09.</w:t>
      </w:r>
      <w:r>
        <w:rPr>
          <w:rFonts w:cs="Times New Roman" w:ascii="Times New Roman" w:hAnsi="Times New Roman"/>
          <w:b/>
          <w:bCs/>
          <w:i w:val="false"/>
          <w:caps w:val="false"/>
          <w:smallCaps w:val="false"/>
          <w:strike w:val="false"/>
          <w:dstrike w:val="false"/>
          <w:color w:val="000000"/>
          <w:spacing w:val="1"/>
          <w:sz w:val="28"/>
          <w:szCs w:val="28"/>
          <w:lang w:val="uk-UA"/>
        </w:rPr>
        <w:t xml:space="preserve">2022 року </w:t>
      </w:r>
    </w:p>
    <w:tbl>
      <w:tblPr>
        <w:tblW w:w="9638" w:type="dxa"/>
        <w:jc w:val="left"/>
        <w:tblInd w:w="59" w:type="dxa"/>
        <w:tblLayout w:type="fixed"/>
        <w:tblCellMar>
          <w:top w:w="0" w:type="dxa"/>
          <w:left w:w="10" w:type="dxa"/>
          <w:bottom w:w="0" w:type="dxa"/>
          <w:right w:w="10" w:type="dxa"/>
        </w:tblCellMar>
      </w:tblPr>
      <w:tblGrid>
        <w:gridCol w:w="625"/>
        <w:gridCol w:w="1363"/>
        <w:gridCol w:w="5887"/>
        <w:gridCol w:w="1763"/>
      </w:tblGrid>
      <w:tr>
        <w:trPr>
          <w:trHeight w:val="390" w:hRule="atLeast"/>
        </w:trPr>
        <w:tc>
          <w:tcPr>
            <w:tcW w:w="625"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b/>
                <w:b/>
                <w:bCs/>
                <w:sz w:val="24"/>
                <w:szCs w:val="24"/>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1363"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cs="Times New Roman"/>
                <w:b/>
                <w:b/>
                <w:bCs/>
                <w:sz w:val="24"/>
                <w:szCs w:val="24"/>
              </w:rPr>
            </w:pPr>
            <w:r>
              <w:rPr>
                <w:rFonts w:cs="Times New Roman"/>
                <w:b/>
                <w:bCs/>
                <w:sz w:val="24"/>
                <w:szCs w:val="24"/>
              </w:rPr>
            </w:r>
          </w:p>
        </w:tc>
        <w:tc>
          <w:tcPr>
            <w:tcW w:w="5887" w:type="dxa"/>
            <w:tcBorders>
              <w:top w:val="single" w:sz="4" w:space="0" w:color="000000"/>
              <w:left w:val="single" w:sz="6" w:space="0" w:color="000000"/>
              <w:bottom w:val="single" w:sz="4" w:space="0" w:color="000000"/>
            </w:tcBorders>
          </w:tcPr>
          <w:p>
            <w:pPr>
              <w:pStyle w:val="Style21"/>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763" w:type="dxa"/>
            <w:tcBorders>
              <w:top w:val="single" w:sz="4" w:space="0" w:color="000000"/>
              <w:left w:val="single" w:sz="6" w:space="0" w:color="000000"/>
              <w:bottom w:val="single" w:sz="4" w:space="0" w:color="000000"/>
              <w:right w:val="single" w:sz="4" w:space="0" w:color="000000"/>
            </w:tcBorders>
            <w:vAlign w:val="center"/>
          </w:tcPr>
          <w:p>
            <w:pPr>
              <w:pStyle w:val="Style21"/>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false"/>
              <w:bidi w:val="0"/>
              <w:snapToGrid w:val="false"/>
              <w:ind w:left="283" w:right="283" w:hanging="0"/>
              <w:jc w:val="center"/>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en-US"/>
              </w:rPr>
            </w:pPr>
            <w:r>
              <w:rPr>
                <w:rFonts w:cs="Times New Roman" w:ascii="Times New Roman" w:hAnsi="Times New Roman"/>
                <w:sz w:val="24"/>
                <w:szCs w:val="24"/>
                <w:shd w:fill="auto" w:val="clear"/>
                <w:lang w:val="en-US"/>
              </w:rPr>
              <w:t>234/06-53-22</w:t>
            </w:r>
          </w:p>
        </w:tc>
        <w:tc>
          <w:tcPr>
            <w:tcW w:w="5887" w:type="dxa"/>
            <w:tcBorders>
              <w:left w:val="single" w:sz="6" w:space="0" w:color="000000"/>
              <w:bottom w:val="single" w:sz="4" w:space="0" w:color="000000"/>
            </w:tcBorders>
          </w:tcPr>
          <w:p>
            <w:pPr>
              <w:pStyle w:val="Normal"/>
              <w:widowControl w:val="false"/>
              <w:spacing w:lineRule="auto" w:line="240" w:before="0" w:after="0"/>
              <w:jc w:val="both"/>
              <w:textAlignment w:val="auto"/>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 xml:space="preserve">Про готовність міських комунальних підприємств та бюджетних установ міста до роботи в осінньо-зимовий період 2022-2023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ind w:left="283" w:right="227" w:hanging="0"/>
              <w:jc w:val="center"/>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234/</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tabs>
                <w:tab w:val="clear" w:pos="709"/>
                <w:tab w:val="left" w:pos="9639" w:leader="none"/>
              </w:tabs>
              <w:spacing w:lineRule="auto" w:line="240" w:before="0" w:after="0"/>
              <w:ind w:left="0" w:right="-1" w:hanging="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Про дозвіл на розробку проєктно-кошторисної документації на реконструкцію системи електропостачання зі встановленням резервного джерела живлення будівель гуртожитків Покровського міського комунального підприємства «ЖИТЛКОМСЕРВІС»</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425"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235/</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дозвіл на розробку проєктно-кошторисної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«Центр первинної медико-санітарної допомоги Покровської міської ради Дніпропетровської області»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з 01.10.2022р.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встановлення зручного для населення режиму роботи магазину “Чарівниця”, який розташований за адресою вул. Соборна, 3а в м. Покров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napToGrid w:val="false"/>
              <w:spacing w:lineRule="auto" w:line="240" w:before="0" w:after="0"/>
              <w:ind w:left="0" w:right="0" w:hanging="0"/>
              <w:jc w:val="both"/>
              <w:textAlignment w:val="auto"/>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w:t>
            </w:r>
            <w:r>
              <w:rPr>
                <w:rFonts w:eastAsia="Times New Roman" w:cs="Times New Roman" w:ascii="Times New Roman" w:hAnsi="Times New Roman"/>
                <w:b w:val="false"/>
                <w:bCs w:val="false"/>
                <w:i w:val="false"/>
                <w:iCs w:val="false"/>
                <w:color w:val="111111"/>
                <w:kern w:val="2"/>
                <w:sz w:val="24"/>
                <w:szCs w:val="24"/>
                <w:lang w:val="ru-RU" w:eastAsia="ru-RU" w:bidi="ar-SA"/>
              </w:rPr>
              <w:t xml:space="preserve">надання малолітньому </w:t>
            </w:r>
            <w:r>
              <w:rPr>
                <w:rFonts w:eastAsia="SimSun" w:cs="Times New Roman" w:ascii="Times New Roman" w:hAnsi="Times New Roman"/>
                <w:b w:val="false"/>
                <w:bCs w:val="false"/>
                <w:i w:val="false"/>
                <w:iCs w:val="false"/>
                <w:color w:val="111111"/>
                <w:kern w:val="2"/>
                <w:sz w:val="24"/>
                <w:szCs w:val="24"/>
                <w:lang w:val="ru-RU" w:eastAsia="ru-RU" w:bidi="hi-IN"/>
              </w:rPr>
              <w:t xml:space="preserve">статусу дитини </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ru-RU" w:eastAsia="ru-RU" w:bidi="hi-IN"/>
              </w:rPr>
              <w:t xml:space="preserve">позбавленої батьківського піклування </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(ХХХХ)</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зміну статусу дитини, позбавленої батьківського піклування на статус дитини-сироти (ХХХХ)</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вихованців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та створення на його базі прийомної сім’ї (ХХХХ)</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cs="Times New Roman" w:ascii="Times New Roman" w:hAnsi="Times New Roman"/>
                <w:kern w:val="0"/>
                <w:sz w:val="24"/>
                <w:szCs w:val="24"/>
                <w:lang w:val="uk-UA" w:eastAsia="ru-RU" w:bidi="ar-SA"/>
              </w:rPr>
              <w:t xml:space="preserve">Про </w:t>
            </w:r>
            <w:r>
              <w:rPr>
                <w:rFonts w:eastAsia="Times New Roman" w:cs="Times New Roman" w:ascii="Times New Roman" w:hAnsi="Times New Roman"/>
                <w:kern w:val="0"/>
                <w:sz w:val="24"/>
                <w:szCs w:val="24"/>
                <w:lang w:val="ru-RU" w:eastAsia="ru-RU" w:bidi="ar-SA"/>
              </w:rPr>
              <w:t xml:space="preserve">виведення з прийомної сім'ї особи з числа дітей позбавлених батьківського піклування </w:t>
            </w:r>
            <w:r>
              <w:rPr>
                <w:rFonts w:eastAsia="Times New Roman" w:cs="Times New Roman" w:ascii="Times New Roman" w:hAnsi="Times New Roman"/>
                <w:kern w:val="0"/>
                <w:sz w:val="24"/>
                <w:szCs w:val="24"/>
                <w:lang w:val="uk-UA" w:eastAsia="ru-RU" w:bidi="ar-SA"/>
              </w:rPr>
              <w:t>(</w:t>
            </w:r>
            <w:r>
              <w:rPr>
                <w:rFonts w:eastAsia="Times New Roman" w:cs="Times New Roman" w:ascii="Times New Roman" w:hAnsi="Times New Roman"/>
                <w:color w:val="auto"/>
                <w:kern w:val="0"/>
                <w:sz w:val="24"/>
                <w:szCs w:val="24"/>
                <w:lang w:val="uk-UA" w:eastAsia="ru-RU" w:bidi="ar-SA"/>
              </w:rPr>
              <w:t>ХХХХ</w:t>
            </w:r>
            <w:r>
              <w:rPr>
                <w:rFonts w:eastAsia="Times New Roman" w:cs="Times New Roman" w:ascii="Times New Roman" w:hAnsi="Times New Roman"/>
                <w:kern w:val="0"/>
                <w:sz w:val="24"/>
                <w:szCs w:val="24"/>
                <w:lang w:val="uk-UA" w:eastAsia="ru-RU" w:bidi="ar-SA"/>
              </w:rPr>
              <w:t>)</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p>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val="uk-UA" w:eastAsia="ru-RU" w:bidi="ar-SA"/>
              </w:rPr>
            </w:pPr>
            <w:r>
              <w:rPr>
                <w:rFonts w:eastAsia="Times New Roman" w:ascii="Times New Roman" w:hAnsi="Times New Roman"/>
                <w:kern w:val="0"/>
                <w:sz w:val="24"/>
                <w:szCs w:val="24"/>
                <w:lang w:val="uk-UA" w:eastAsia="ru-RU" w:bidi="ar-SA"/>
              </w:rPr>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відносно малолітнього ХХХХ ХХХХ ХХХХ, ХХ.ХХ.ХХХХ року народження.</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відносно малолітніх ХХХХ ХХХХ ХХХХ, ХХ.ХХ.ХХХХ року народження ХХХХ ХХХХ ХХХХ, ХХ.ХХ.ХХХХ року народження.</w:t>
            </w:r>
          </w:p>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ascii="Times New Roman" w:hAnsi="Times New Roman"/>
                <w:kern w:val="0"/>
                <w:sz w:val="24"/>
                <w:szCs w:val="24"/>
                <w:lang w:eastAsia="ru-RU" w:bidi="ar-SA"/>
              </w:rPr>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відносно дітей,  малолітніх ХХХХ ХХХХ ХХХХ, ХХ.ХХ.ХХХХ року народження, ХХХХ ХХХХ ХХХХ, ХХ.ХХ.ХХХХ року народження, ХХХХ ХХХХ ХХХХ, ХХ.ХХ.ХХХХ року народження.</w:t>
            </w:r>
          </w:p>
          <w:p>
            <w:pPr>
              <w:pStyle w:val="Normal"/>
              <w:widowControl w:val="false"/>
              <w:spacing w:lineRule="auto" w:line="240" w:before="0" w:after="0"/>
              <w:ind w:left="0" w:right="0" w:hanging="0"/>
              <w:jc w:val="both"/>
              <w:textAlignment w:val="auto"/>
              <w:rPr>
                <w:rFonts w:ascii="Times New Roman" w:hAnsi="Times New Roman"/>
                <w:sz w:val="24"/>
                <w:szCs w:val="24"/>
              </w:rPr>
            </w:pPr>
            <w:r>
              <w:rPr>
                <w:rFonts w:ascii="Times New Roman" w:hAnsi="Times New Roman"/>
                <w:sz w:val="24"/>
                <w:szCs w:val="24"/>
              </w:rPr>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гр.ХХХХ ХХХХ ХХХХ, ХХ.ХХ.ХХХХ року народження відносно дітей, малолітніх ХХХХ ХХХХ ХХХХ, ХХ.ХХ.ХХХХ року народження, ХХХХ ХХХХ ХХХХ, ХХ.ХХ.ХХХХ року народження</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визначення місця проживання малолітніх ХХХХ ХХХХ ХХХХ, ХХ.ХХ.ХХХХ року народження, ХХХХ ХХХХ ХХХХ, ХХ.ХХ.ХХХХ року народження з батьком, гр. ХХХХ ХХХХ ХХХХ, ХХ.ХХ.ХХХХ року народження.</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штатних розписів працівників закладів освіти міста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припинення дії дозвільних документів на розміщення тимчасової споруди торговельного павільйону в районі магазину «АТБ» на вул. Центральній ФОП Луконіну П.В.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Style32"/>
              <w:widowControl w:val="false"/>
              <w:rPr>
                <w:rFonts w:cs="Times New Roman"/>
                <w:sz w:val="24"/>
                <w:szCs w:val="24"/>
                <w:lang w:val="uk-UA"/>
              </w:rPr>
            </w:pPr>
            <w:r>
              <w:rPr>
                <w:rFonts w:cs="Times New Roman"/>
                <w:sz w:val="24"/>
                <w:szCs w:val="24"/>
                <w:lang w:val="uk-UA"/>
              </w:rPr>
              <w:t xml:space="preserve">Про погодження користування місцем розміщення тимчасової споруди-торговельного павільйону в районі магазину «АТБ» на вул. Центральній ФОП Міняйлу О.М.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розміщення тимчасової споруди - торговельного павільйону в районі будинку № 5-А на вул. Малки Івана ФОП Ревуці Н.М.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35-го мікрорайону на вул. Соборній ФОП Ревуці Н.М.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будинку № 13 на вул. Джонсона Бориса ФОП Кліміку О.П.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на вул. Соборній ФОП </w:t>
            </w:r>
          </w:p>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Соломійчук І.М.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кіоску в районі житлового будинку №2 на вул. Магістральній ФОП Гуліцькому О.С.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19 на вул. Центральній ФОП Петровичу В.Г.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Про погодження продовження терміну користування місцем розміщення тимчасової споруди - торговельного кіоску в</w:t>
            </w:r>
          </w:p>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 </w:t>
            </w:r>
            <w:r>
              <w:rPr>
                <w:rFonts w:cs="Times New Roman" w:ascii="Times New Roman" w:hAnsi="Times New Roman"/>
                <w:sz w:val="24"/>
                <w:szCs w:val="24"/>
                <w:lang w:val="uk-UA" w:bidi="hi-IN"/>
              </w:rPr>
              <w:t xml:space="preserve">районі будинку № 22 на вул. Джонсона Бориса ФОП Петровичу В. Г.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3 на вул. Соборній ФОП Матюку Ю.В.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магазину “АТБ” на вул. Бориса Джонсона ФОП Трофименку О.А.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15 на вул. Київській ФОП Чумаченко А.О.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павільйону на вул. Київській ФОП Мирошниченку С.Ф.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Про погодження продовження терміну користування місцем розміщення тимчасової споруди — збірного залізобетонного гаража в районі будинку № ХХ на вул. ХХХХ (ХХХХ).</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місця розміщення тимчасової споруди металевого гаража в районі будинку № </w:t>
            </w:r>
            <w:r>
              <w:rPr>
                <w:rFonts w:eastAsia="Noto Serif CJK SC" w:cs="Times New Roman" w:ascii="Times New Roman" w:hAnsi="Times New Roman"/>
                <w:color w:val="auto"/>
                <w:kern w:val="2"/>
                <w:sz w:val="24"/>
                <w:szCs w:val="24"/>
                <w:lang w:val="uk-UA" w:eastAsia="zh-CN" w:bidi="hi-IN"/>
              </w:rPr>
              <w:t xml:space="preserve">ХХ </w:t>
            </w:r>
            <w:r>
              <w:rPr>
                <w:rFonts w:cs="Times New Roman" w:ascii="Times New Roman" w:hAnsi="Times New Roman"/>
                <w:sz w:val="24"/>
                <w:szCs w:val="24"/>
                <w:lang w:val="uk-UA" w:bidi="hi-IN"/>
              </w:rPr>
              <w:t>на вул. ХХХХ (ХХХХ).</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білборду в районі будинку № </w:t>
            </w:r>
            <w:r>
              <w:rPr>
                <w:rFonts w:eastAsia="Noto Serif CJK SC" w:cs="Times New Roman" w:ascii="Times New Roman" w:hAnsi="Times New Roman"/>
                <w:color w:val="auto"/>
                <w:kern w:val="2"/>
                <w:sz w:val="24"/>
                <w:szCs w:val="24"/>
                <w:lang w:val="uk-UA" w:eastAsia="zh-CN" w:bidi="hi-IN"/>
              </w:rPr>
              <w:t xml:space="preserve">ХХ </w:t>
            </w:r>
            <w:r>
              <w:rPr>
                <w:rFonts w:cs="Times New Roman" w:ascii="Times New Roman" w:hAnsi="Times New Roman"/>
                <w:sz w:val="24"/>
                <w:szCs w:val="24"/>
                <w:lang w:val="uk-UA" w:bidi="hi-IN"/>
              </w:rPr>
              <w:t xml:space="preserve">на вул. </w:t>
            </w:r>
            <w:r>
              <w:rPr>
                <w:rFonts w:eastAsia="Noto Serif CJK SC" w:cs="Times New Roman" w:ascii="Times New Roman" w:hAnsi="Times New Roman"/>
                <w:color w:val="auto"/>
                <w:kern w:val="2"/>
                <w:sz w:val="24"/>
                <w:szCs w:val="24"/>
                <w:lang w:val="uk-UA" w:eastAsia="zh-CN" w:bidi="hi-IN"/>
              </w:rPr>
              <w:t>ХХХХ (ХХХХ).</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сітілайту в районі будинку № 50 на вул. Центральній ФОП Петровичу В.Г.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сітілайту в районі будинку № 47а на вул. Центральній ФОП Петровичу В.Г.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рекламних конструкцій — сітілайтів в районі магазину «АТБ» на вул. Джонсона Бориса ФОП Петровичу В.Г.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рекламної конструкції сітілайта в районі будинку №5 на вул. Центральній ФОП Гончарову А.В.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рекламних конструкцій - сітілайтів в кількості 10-ти штук на вул. Європейській ФОП Скороходовій О.В.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рекламної конструкції білборду в районі будинку №2а на вул. Героїв України ФОП Білоус Т.В.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надання дозволу на розміщення рекламної конструкції — білборду в районі будинку №2а на вул.Героїв України ФОП Скороходовій О.В.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Про взяття на облік громадян, які потребують поліпшення житлових умов</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color w:val="111111"/>
                <w:sz w:val="24"/>
                <w:szCs w:val="24"/>
                <w:lang w:eastAsia="ru-RU" w:bidi="ar-SA"/>
              </w:rPr>
            </w:pPr>
            <w:r>
              <w:rPr>
                <w:rFonts w:eastAsia="Times New Roman" w:cs="Times New Roman" w:ascii="Times New Roman" w:hAnsi="Times New Roman"/>
                <w:b w:val="false"/>
                <w:bCs w:val="false"/>
                <w:i w:val="false"/>
                <w:iCs w:val="false"/>
                <w:color w:val="111111"/>
                <w:kern w:val="2"/>
                <w:sz w:val="24"/>
                <w:szCs w:val="24"/>
                <w:lang w:val="ru-RU" w:eastAsia="ru-RU" w:bidi="ar-SA"/>
              </w:rPr>
              <w:t>Крут</w:t>
            </w:r>
            <w:r>
              <w:rPr>
                <w:rFonts w:eastAsia="Times New Roman" w:cs="Times New Roman" w:ascii="Times New Roman" w:hAnsi="Times New Roman"/>
                <w:b w:val="false"/>
                <w:bCs w:val="false"/>
                <w:i w:val="false"/>
                <w:iCs w:val="false"/>
                <w:color w:val="111111"/>
                <w:kern w:val="2"/>
                <w:sz w:val="24"/>
                <w:szCs w:val="24"/>
                <w:lang w:val="uk-UA" w:eastAsia="ru-RU" w:bidi="ar-SA"/>
              </w:rPr>
              <w:t>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Про продовження строку дії договору найму соціального житла</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Про внесення змін до рішення виконавчого комітету Покровської міської ради від 24.03.2021 № 143 «Про створення комісії з питань евакуації Покровської міської територіальної громади»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дозвіл на розробку проєктно-кошторисної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«Центральна міська лікарня Покровської міської ради Дніпропетровської області» </w:t>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5887" w:type="dxa"/>
            <w:tcBorders>
              <w:left w:val="single" w:sz="6" w:space="0" w:color="000000"/>
              <w:bottom w:val="single" w:sz="4" w:space="0" w:color="000000"/>
            </w:tcBorders>
          </w:tcPr>
          <w:p>
            <w:pPr>
              <w:pStyle w:val="Style21"/>
              <w:widowControl w:val="false"/>
              <w:rPr>
                <w:rFonts w:ascii="Times New Roman" w:hAnsi="Times New Roman"/>
                <w:sz w:val="24"/>
                <w:szCs w:val="24"/>
              </w:rPr>
            </w:pPr>
            <w:r>
              <w:rPr>
                <w:rFonts w:ascii="Times New Roman" w:hAnsi="Times New Roman"/>
                <w:sz w:val="24"/>
                <w:szCs w:val="24"/>
              </w:rPr>
              <w:t xml:space="preserve">Про надання матеріальної грошової допомоги </w:t>
            </w:r>
          </w:p>
          <w:p>
            <w:pPr>
              <w:pStyle w:val="Style21"/>
              <w:widowControl w:val="false"/>
              <w:spacing w:before="0" w:after="140"/>
              <w:rPr>
                <w:rFonts w:ascii="Times New Roman" w:hAnsi="Times New Roman"/>
                <w:sz w:val="24"/>
                <w:szCs w:val="24"/>
              </w:rPr>
            </w:pPr>
            <w:r>
              <w:rPr>
                <w:rFonts w:ascii="Times New Roman" w:hAnsi="Times New Roman"/>
                <w:sz w:val="24"/>
                <w:szCs w:val="24"/>
              </w:rPr>
            </w:r>
          </w:p>
        </w:tc>
        <w:tc>
          <w:tcPr>
            <w:tcW w:w="1763"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 xml:space="preserve">Курасов  С. </w:t>
            </w:r>
          </w:p>
        </w:tc>
      </w:tr>
    </w:tbl>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
    </w:p>
    <w:sectPr>
      <w:type w:val="nextPage"/>
      <w:pgSz w:w="11906" w:h="16838"/>
      <w:pgMar w:left="1701"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Strong"/>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Rvts9">
    <w:name w:val="rvts9"/>
    <w:qFormat/>
    <w:rPr/>
  </w:style>
  <w:style w:type="character" w:styleId="Style18">
    <w:name w:val="Символ нумерації"/>
    <w:qFormat/>
    <w:rPr/>
  </w:style>
  <w:style w:type="character" w:styleId="Strong">
    <w:name w:val="Strong"/>
    <w:qFormat/>
    <w:rPr>
      <w:b/>
      <w:bCs/>
    </w:rPr>
  </w:style>
  <w:style w:type="character" w:styleId="11">
    <w:name w:val="Основной шрифт абзаца1"/>
    <w:qFormat/>
    <w:rPr/>
  </w:style>
  <w:style w:type="character" w:styleId="Style19">
    <w:name w:val="Основной шрифт абзаца"/>
    <w:qFormat/>
    <w:rPr/>
  </w:style>
  <w:style w:type="character" w:styleId="DefaultParagraphFont">
    <w:name w:val="Default Paragraph Font"/>
    <w:qFormat/>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Покажчик"/>
    <w:basedOn w:val="Normal"/>
    <w:qFormat/>
    <w:pPr>
      <w:suppressLineNumbers/>
    </w:pPr>
    <w:rPr>
      <w:rFonts w:cs="Arial"/>
    </w:rPr>
  </w:style>
  <w:style w:type="paragraph" w:styleId="Style25">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6">
    <w:name w:val="Body Text Indent"/>
    <w:basedOn w:val="Normal"/>
    <w:pPr>
      <w:suppressAutoHyphens w:val="false"/>
      <w:spacing w:before="0" w:after="120"/>
      <w:ind w:left="283" w:right="0" w:hanging="0"/>
    </w:pPr>
    <w:rPr/>
  </w:style>
  <w:style w:type="paragraph" w:styleId="Style27">
    <w:name w:val="Обычный (веб)"/>
    <w:basedOn w:val="Normal"/>
    <w:qFormat/>
    <w:pPr>
      <w:spacing w:before="280" w:after="280"/>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Style30">
    <w:name w:val="Вміст таблиці"/>
    <w:basedOn w:val="Normal"/>
    <w:qFormat/>
    <w:pPr>
      <w:widowControl w:val="false"/>
      <w:suppressLineNumbers/>
    </w:pPr>
    <w:rPr/>
  </w:style>
  <w:style w:type="paragraph" w:styleId="Style31">
    <w:name w:val="Заголовок таблиці"/>
    <w:basedOn w:val="Style30"/>
    <w:qFormat/>
    <w:pPr>
      <w:suppressLineNumbers/>
      <w:jc w:val="center"/>
    </w:pPr>
    <w:rPr>
      <w:b/>
      <w:bCs/>
    </w:rPr>
  </w:style>
  <w:style w:type="paragraph" w:styleId="Style32">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3">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BodyText2">
    <w:name w:val="Body Text 2"/>
    <w:basedOn w:val="Normal"/>
    <w:qFormat/>
    <w:pPr>
      <w:spacing w:lineRule="auto" w:line="240"/>
      <w:ind w:firstLine="720"/>
      <w:jc w:val="center"/>
    </w:pPr>
    <w:rPr>
      <w:rFonts w:ascii="Times New Roman" w:hAnsi="Times New Roman" w:eastAsia="Times New Roman" w:cs="Times New Roman"/>
      <w:szCs w:val="20"/>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281</TotalTime>
  <Application>LibreOffice/7.4.3.2$Windows_X86_64 LibreOffice_project/1048a8393ae2eeec98dff31b5c133c5f1d08b890</Application>
  <AppVersion>15.0000</AppVersion>
  <Pages>4</Pages>
  <Words>1155</Words>
  <Characters>7800</Characters>
  <CharactersWithSpaces>8833</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2023-04-25T10:34:57Z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