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виконкому Покровської міської ради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на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23 червня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8"/>
                <w:szCs w:val="28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  <w:t>235/06-53-23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zh-CN" w:bidi="hi-IN"/>
              </w:rPr>
              <w:t>Про дозвіл на коригування проектно-кошторисної документації на об’єкт  «Капітальний ремонт аварійної  резервної  нитки  водозабірної  споруди  МКП «Покровводоканал» м.Покров Дніпропет-ровської області»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hi-IN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Т.в.о. начальника загального відділу                                         Оксана ТОВКАНЬ</w:t>
      </w:r>
    </w:p>
    <w:sectPr>
      <w:headerReference w:type="default" r:id="rId2"/>
      <w:type w:val="nextPage"/>
      <w:pgSz w:w="11906" w:h="16838"/>
      <w:pgMar w:left="1701" w:right="567" w:gutter="0" w:header="495" w:top="100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2044</TotalTime>
  <Application>LibreOffice/7.4.3.2$Windows_X86_64 LibreOffice_project/1048a8393ae2eeec98dff31b5c133c5f1d08b890</Application>
  <AppVersion>15.0000</AppVersion>
  <Pages>1</Pages>
  <Words>48</Words>
  <Characters>340</Characters>
  <CharactersWithSpaces>422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2023-06-23T11:36:19Z</cp:lastPrinted>
  <dcterms:modified xsi:type="dcterms:W3CDTF">2023-08-03T14:46:20Z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