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lineRule="auto" w:line="240" w:before="0" w:after="0"/>
        <w:ind w:left="0" w:right="0" w:hanging="0"/>
        <w:jc w:val="center"/>
        <w:rPr>
          <w:color w:val="000000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ПЕРЕЛІК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color w:val="000000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рішень чергового засідання  виконавчого комітету Покровської міської ради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color w:val="000000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25.12.2025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r>
    </w:p>
    <w:tbl>
      <w:tblPr>
        <w:tblW w:w="10107" w:type="dxa"/>
        <w:jc w:val="left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47"/>
        <w:gridCol w:w="7950"/>
        <w:gridCol w:w="1710"/>
      </w:tblGrid>
      <w:tr>
        <w:trPr>
          <w:trHeight w:val="450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№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Назва рішення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101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1.Блок питань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стан виконання Комплексної програми з безбар’єрного простору в Покровській міській територіальній громаді Дніпропетровської області на 2024- 2026 роки у 2025 році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uk-UA"/>
              </w:rPr>
              <w:t>Про продовження договору оренди комунального майна №75/21 від 10.03.2021, укладеного з Територіальним центром соціального обслуговування (надання соціальних послуг) Покровської міської ради Дніпропетровської області, без проведення аукціону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включення до Переліку першого типу нежитлової будівлі, розташованої за адресою: вул.Поштова, буд.5, с.Шолохове, Нікопольський р-н, Дніпропетровська обл.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виключення об'єкта нерухомого майна з Переліку першого типу об’єктів комунальної власності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зняття з контролю договору купівлі-продажу об'єкта приватизації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проектно-кошторисної документації за робочим проектом: «Капітальний ремонт підвалу під найпростіше укриття будівлі КЗ «ЛІЦЕЙ №5 ПОКРОВСЬКОЇ МІСЬКОЇ РАДИ ДНІПРОПЕТРОВСЬКОЇ ОБЛАСТІ» за адресою: вул. Центральна, 35, м. Покров, Нікопольський район, Дніпропетровська область»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проектно-кошторисної документації за робочим проектом: «Капітальний ремонт підвалу під найпростіше укриття будівлі КЗ «ЛІЦЕЙ №6 ПОКРОВСЬКОЇ МІСЬКОЇ РАДИ ДНІПРОПЕТРОВСЬКОЇ ОБЛАСТІ» за адресою: вул. Чіатурська, 6, м. Покров, Нікопольський район, Дніпропетровська область»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штатного розпису управління освіти виконавчого комітету Покровської міської ради на 2026 рік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структури і штатної чисельності працівників управління житлово-комунального господарства та будівництва виконавчого комітету Покровської міської ради з 01.01.2026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штатного розпису управління житлово-комунального господарства та будівництва виконавчого комітету Покровської міської ради на 2026 рік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Фінансового плану комунального підприємства «Центральна міська лікарня Покровської міської ради Дніпропетровської області» на 2025 рік у новій редакції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Фінансового плану комунального підприємства «Центральна міська лікарня Покровської міської ради Дніпропетровської області» на 2026 рік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штатного розпису комунального підприємства «Центральна міська лікарня Покровської міської ради Дніпропетровської області» з 01.01.2026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Фінансового плану комунального некомерційного підприємства «Центр первинної медико-санітарної допомоги Покровської міської ради Дніпропетровської області» на 2026 рік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штатного розпису комунального некомерційного підприємства «Центр первинної медико-санітарної допомоги Покровської міської ради Дніпропетровської області» на 2026 рік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штатного розпису Покровського міського комунального підприємства «ЖИТЛКОМСЕРВІС» на 2026 рік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штатного розпису Покровського міського комунального підприємства «Добробут» на 2026 рік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штатного розпису Міського комунального підприємства «Покровське виробниче управління водопровідно-каналізаційного господарства» (МКП «Покровводоканал») на 2026 рік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проектно-кошторисної документації по об’єкту: «Капітальний ремонт магістрального трубопроводу ДУ 500мм від колодязя на вул. Європейська до колодязя на вул. Карпатська в м. Покров Нікопольського району Дніпропетровської області»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проектно-кошторисної документації по об’єкту: «Капітальний ремонт внутрішньоквартального трубопроводу Ду=250мм, від колодязя поблизу будинку №1 по вул. Соборна до колодязя поблизу будинку №4 по вул. Джонсона в м. Покров Нікопольського району Дніпропетровської області»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складу постійно діючої комісії з питань видалення зелених насаджень в межах Покровської міської територіальної громади у новій редакції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before="0" w:after="0"/>
              <w:jc w:val="both"/>
              <w:textAlignment w:val="baseline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 xml:space="preserve">Про затвердження рішення Комісії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№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1 від 23 грудня 2025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 xml:space="preserve">Про затвердження рішення Комісії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№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2 від 23 грудня 2025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 xml:space="preserve">Про затвердження рішення Комісії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№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3 від 23 грудня 2025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 xml:space="preserve">Про затвердження рішення Комісії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№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від 23 грудня 2025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 xml:space="preserve">Про затвердження рішення Комісії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№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5 від 23 грудня 2025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 xml:space="preserve">Про затвердження рішення Комісії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№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6 від 23 грудня 2025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 xml:space="preserve">Про затвердження рішення Комісії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№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7 від 23 грудня 2025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 xml:space="preserve">Про затвердження рішення Комісії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№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8 від 23 грудня 2025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 xml:space="preserve">Про затвердження рішення Комісії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№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9 від 23 грудня 2025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 xml:space="preserve">Про затвердження рішення Комісії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№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від 23 грудня 2025 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4"/>
                <w:szCs w:val="24"/>
                <w:shd w:fill="auto" w:val="clear"/>
              </w:rPr>
      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продовження терміну користування місцем розміщення тимчасової споруди біля магазину «АТБ» на вул. Джонсона, 29 ФОП Коваль Ю.В.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продовження терміну користування місцем розміщення тимчасової споруди біля магазину «АТБ» на вул. Джонсона, 29 ФОП Трофименку О.А.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продовження терміну користування місцем розміщення тимчасової споруди біля магазину «АТБ» на вул. Джонсона, 29 ФОП Артьомовій С.П.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продовження терміну користування місцем розміщення групи тимчасових споруд біля будинку № 15 на вул. Соборній ФОП Цепкову С.В.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spacing w:lineRule="auto" w:line="24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виключення квартири № 15 у житловому будинку № 2 на вулиці Європейській з житлового фонду міста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подання позовної заяви до Покровського міського суду Дніпропетровської області про визнання особи недієздатною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 ГОРЧАКОВА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доцільність призначення опікуном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 ГОРЧАКОВА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складу опікунської ради при виконавчому комітеті Покровської міської ради Дніпропетровської області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 ГОРЧАКОВА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складу комісії з питань направлення дітей, які потребують особливої уваги і підтримки, до дитячих закладів оздоровлення та відпочинку у новій редакції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 ГОРЧАКОВА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ind w:left="57" w:right="113"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внесення змін до рішення виконавчого комітету Покровської міської ради від 16.12.2024 № № 834/06-53-24 «Про утворення ветеранської Партнерської ради при виконавчому комітеті Покровської міської ради Дніпропетровської області»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 ГОРЧАКОВА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val="uk-UA" w:eastAsia="ru-RU" w:bidi="ar-SA"/>
              </w:rPr>
              <w:t>Про затвердження складу комісії з питань захисту прав дитини при виконавчому комітеті Покровської міської ради Дніпропетровської області у новій редакції.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 ГОРЧАКОВА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персонального складу комісії з питань встановлення пам’ятних знаків, меморіальних, анотаційних дошок, пам’ятників та монументів у Покровській міській територіальній громаді у новій редакції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 ГОРЧАКОВА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погодження штатного розпису закладів культури та відділу культури, туризму, національностей і релігій виконавчого комітету Покровської міської ради Дніпропетровської області на 2026рік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 ГОРЧАКОВА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штатного розпису на 2026 рік комунального закладу «Малий груповий будинок «Надія» Покровської міської ради Дніпропетровської області»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 ГОРЧАКОВА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затвердження штатного розпису Центру соціальних служб Покровської міської ради Дніпропетровської області на 2026 рік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я ГОРЧАКОВА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Про затвердження штатного розпису територіального центру соціального обслуговування (надання соціальних послуг) Покровської міської ради Дніпропетровської області  на 2026 рік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  <w:t>`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я ГОРЧАКОВА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переукладання договору найму житлового приміщення</w:t>
            </w:r>
          </w:p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переукладання договору найму житлового приміщення</w:t>
            </w:r>
          </w:p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переукладання договору найму житлового приміщення</w:t>
            </w:r>
          </w:p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переукладання договору найму житлового приміщення</w:t>
            </w:r>
          </w:p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переукладання договору найму житлового приміщення</w:t>
            </w:r>
          </w:p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переукладання договору найму житлового приміщення</w:t>
            </w:r>
          </w:p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Про взяття на облік громадян, які потребують поліпшення житлових умов 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Про взяття на облік громадян, які потребують поліпшення житлових умов 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227" w:hanging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 зняття громадян з квартирної черги.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 відмову у взятті на квартирний облік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227" w:hanging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 розподіл житла.</w:t>
            </w:r>
          </w:p>
          <w:p>
            <w:pPr>
              <w:pStyle w:val="Normal"/>
              <w:widowControl w:val="false"/>
              <w:ind w:left="0" w:right="-227" w:hanging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227" w:hanging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 розподіл житла</w:t>
            </w:r>
          </w:p>
          <w:p>
            <w:pPr>
              <w:pStyle w:val="Normal"/>
              <w:widowControl w:val="false"/>
              <w:ind w:left="0" w:right="-227" w:hanging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227" w:hanging="0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 виключення жилого приміщення з числа службових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57" w:right="113"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Про  затвердження  списків громадян, які потребують поліпшення житлових умов та перебувають на квартирному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auto" w:val="clear"/>
                <w:lang w:eastAsia="zh-CN" w:bidi="ar-SA"/>
              </w:rPr>
              <w:t>о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бліку 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</w:rPr>
              <w:t>за  місцем проживання.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Андрій МАГЛИШ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57" w:right="113" w:hanging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 виділення матеріальних цінностей з міського матеріального резерву Покровської міської територіальної громади для ліквідації наслідків надзвичайної ситуації воєнного характеру, проведення невідкладних відновлювальних робіт, забезпечення безперебійної роботи закладів освіти, охорони здоров’я, пунктів незламності в межах Покровської міської територіальної громади та структурних підрозділів виконавчого комітету Покровської міської ради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Сергвй КУРАСОВ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Про план засідань виконавчого комітету Покровської міської ради на            І півріччя 2026 року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Вікторія АГАПОВА</w:t>
            </w:r>
          </w:p>
        </w:tc>
      </w:tr>
      <w:tr>
        <w:trPr>
          <w:trHeight w:val="683" w:hRule="atLeast"/>
        </w:trPr>
        <w:tc>
          <w:tcPr>
            <w:tcW w:w="101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89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2.Блок питань з обмеженим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89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64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3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>Про звільнення від здійснення повноважень піклувальника</w:t>
            </w:r>
          </w:p>
          <w:p>
            <w:pPr>
              <w:pStyle w:val="13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Дар'я ГОРЧАКОВА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65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3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 xml:space="preserve">Про влаштування неповнолітньої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>ХХХ ХХ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>хх.хх.хххх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 xml:space="preserve"> року народження на повне державне утримання до ДПТНЗ «Білоцерківське вище професійне училище будівництва та сервісу».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Дар'я ГОРЧАКОВА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66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3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>Про встановлення опіки/піклування</w:t>
            </w:r>
          </w:p>
          <w:p>
            <w:pPr>
              <w:pStyle w:val="13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Дар'я ГОРЧАКОВА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67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3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 xml:space="preserve">Про призначення опікуна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val="ru-RU" w:eastAsia="ru-RU" w:bidi="ar-SA"/>
              </w:rPr>
              <w:t>над майном неповнолітньої дитини</w:t>
            </w:r>
          </w:p>
          <w:p>
            <w:pPr>
              <w:pStyle w:val="13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Дар'я ГОРЧАКОВА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68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3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 xml:space="preserve">Про визначення місця проживання малолітніх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>ХХХ ХХ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>хх.хх.хххх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 xml:space="preserve"> року народження,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>ХХХ ХХ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>хх.хх.хххх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 xml:space="preserve"> року народження з батьком,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>ХХХ ХХ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>хх.хх.хххх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 xml:space="preserve"> року народження.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Дар'я ГОРЧАКОВА</w:t>
            </w:r>
          </w:p>
        </w:tc>
      </w:tr>
      <w:tr>
        <w:trPr>
          <w:trHeight w:val="683" w:hRule="atLeast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69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3"/>
              <w:widowControl w:val="false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 xml:space="preserve">Про затвердження висновку органу опіки та піклування Покровської міської ради Дніпропетровської області щодо доцільності позбавлення батьківських прав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>ХХХ ХХ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>хх.хх.хххх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 xml:space="preserve"> року народження батьківських прав відносно малолітніх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>ХХХ ХХ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>хх.хх.хххх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 xml:space="preserve"> року народження,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>ХХХ ХХ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>хх.хх.хххх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auto" w:val="clear"/>
                <w:lang w:eastAsia="ru-RU" w:bidi="ar-SA"/>
              </w:rPr>
              <w:t xml:space="preserve"> року народження.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Дар'я ГОРЧАКОВА</w:t>
            </w:r>
          </w:p>
        </w:tc>
      </w:tr>
    </w:tbl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0"/>
        <w:widowControl w:val="false"/>
        <w:suppressAutoHyphens w:val="true"/>
        <w:bidi w:val="0"/>
        <w:spacing w:lineRule="auto" w:line="240" w:before="0" w:after="0"/>
        <w:ind w:left="113" w:right="0" w:hanging="0"/>
        <w:jc w:val="left"/>
        <w:rPr>
          <w:rFonts w:ascii="Times New Roman" w:hAnsi="Times New Roman"/>
          <w:strike w:val="false"/>
          <w:dstrike w:val="false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trike w:val="false"/>
          <w:dstrike w:val="false"/>
          <w:color w:val="000000"/>
          <w:sz w:val="24"/>
          <w:szCs w:val="24"/>
          <w:lang w:val="uk-UA"/>
        </w:rPr>
      </w:r>
    </w:p>
    <w:p>
      <w:pPr>
        <w:pStyle w:val="Style20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sz w:val="24"/>
          <w:szCs w:val="24"/>
        </w:rPr>
      </w:pPr>
      <w:r>
        <w:rPr>
          <w:rFonts w:ascii="Times New Roman" w:hAnsi="Times New Roman"/>
          <w:strike w:val="false"/>
          <w:dstrike w:val="false"/>
          <w:color w:val="000000"/>
          <w:sz w:val="24"/>
          <w:szCs w:val="24"/>
          <w:lang w:val="uk-UA"/>
        </w:rPr>
        <w:t xml:space="preserve">Начальник загального відділу </w:t>
        <w:tab/>
        <w:t xml:space="preserve"> </w:t>
        <w:tab/>
        <w:t xml:space="preserve">                                                  Оксана ТОВКАНЬ</w:t>
      </w:r>
    </w:p>
    <w:sectPr>
      <w:type w:val="nextPage"/>
      <w:pgSz w:w="11906" w:h="16838"/>
      <w:pgMar w:left="1701" w:right="567" w:gutter="0" w:header="0" w:top="1020" w:footer="0" w:bottom="10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nsola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vts9" w:customStyle="1">
    <w:name w:val="rvts9"/>
    <w:qFormat/>
    <w:rPr/>
  </w:style>
  <w:style w:type="character" w:styleId="1" w:customStyle="1">
    <w:name w:val="Шрифт абзацу за замовчуванням1"/>
    <w:qFormat/>
    <w:rPr/>
  </w:style>
  <w:style w:type="character" w:styleId="11" w:customStyle="1">
    <w:name w:val="Основной шрифт абзаца11"/>
    <w:qFormat/>
    <w:rPr/>
  </w:style>
  <w:style w:type="character" w:styleId="12" w:customStyle="1">
    <w:name w:val="Основной шрифт абзаца1"/>
    <w:qFormat/>
    <w:rPr/>
  </w:style>
  <w:style w:type="character" w:styleId="2" w:customStyle="1">
    <w:name w:val="Шрифт абзацу за замовчуванням2"/>
    <w:qFormat/>
    <w:rPr/>
  </w:style>
  <w:style w:type="character" w:styleId="HTML" w:customStyle="1">
    <w:name w:val="Стандартний HTML Знак"/>
    <w:basedOn w:val="DefaultParagraphFont"/>
    <w:uiPriority w:val="99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character" w:styleId="Style14" w:customStyle="1">
    <w:name w:val="Основной шрифт абзаца"/>
    <w:qFormat/>
    <w:rsid w:val="00f630ea"/>
    <w:rPr/>
  </w:style>
  <w:style w:type="character" w:styleId="Style15">
    <w:name w:val="Символ нумерації"/>
    <w:qFormat/>
    <w:rPr/>
  </w:style>
  <w:style w:type="character" w:styleId="Style16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Style17">
    <w:name w:val="Текст Знак"/>
    <w:qFormat/>
    <w:rPr>
      <w:rFonts w:ascii="Courier New" w:hAnsi="Courier New" w:cs="Courier New"/>
    </w:rPr>
  </w:style>
  <w:style w:type="character" w:styleId="Style18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0">
    <w:name w:val="WW8Num5z0"/>
    <w:qFormat/>
    <w:rPr>
      <w:rFonts w:cs="Times New Roman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character" w:styleId="Strong">
    <w:name w:val="Strong"/>
    <w:qFormat/>
    <w:rPr>
      <w:b/>
      <w:bCs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qFormat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TMLPreformatted">
    <w:name w:val="HTML Preformatted"/>
    <w:basedOn w:val="Normal"/>
    <w:uiPriority w:val="99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uk-UA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24" w:customStyle="1">
    <w:name w:val="Вміст таблиці"/>
    <w:basedOn w:val="Normal"/>
    <w:qFormat/>
    <w:pPr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Style26" w:customStyle="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14" w:customStyle="1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1" w:customStyle="1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7" w:customStyle="1">
    <w:name w:val="Обычный"/>
    <w:qFormat/>
    <w:rsid w:val="00f630e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uk-UA" w:eastAsia="zh-CN" w:bidi="hi-IN"/>
    </w:rPr>
  </w:style>
  <w:style w:type="paragraph" w:styleId="Style28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11">
    <w:name w:val="Основной текст 21"/>
    <w:basedOn w:val="Normal"/>
    <w:qFormat/>
    <w:pPr>
      <w:ind w:firstLine="720"/>
      <w:jc w:val="center"/>
    </w:pPr>
    <w:rPr/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Style29">
    <w:name w:val="Содержимое таблицы"/>
    <w:basedOn w:val="Normal"/>
    <w:qFormat/>
    <w:pPr>
      <w:widowControl w:val="false"/>
    </w:pPr>
    <w:rPr>
      <w:rFonts w:eastAsia="WenQuanYi Micro Hei" w:cs="Lohit Hindi"/>
      <w:lang w:val="ru-RU" w:bidi="hi-IN"/>
    </w:rPr>
  </w:style>
  <w:style w:type="paragraph" w:styleId="Style30">
    <w:name w:val="Текст выноски"/>
    <w:basedOn w:val="Normal"/>
    <w:qFormat/>
    <w:pPr>
      <w:widowControl w:val="false"/>
    </w:pPr>
    <w:rPr>
      <w:rFonts w:ascii="Tahoma" w:hAnsi="Tahoma" w:eastAsia="WenQuanYi Micro Hei" w:cs="Mangal"/>
      <w:sz w:val="16"/>
      <w:szCs w:val="14"/>
      <w:lang w:val="ru-RU" w:bidi="hi-IN"/>
    </w:rPr>
  </w:style>
  <w:style w:type="paragraph" w:styleId="Style31">
    <w:name w:val="Название объекта"/>
    <w:basedOn w:val="Normal"/>
    <w:qFormat/>
    <w:pPr>
      <w:spacing w:before="120" w:after="120"/>
    </w:pPr>
    <w:rPr>
      <w:rFonts w:cs="Arial"/>
      <w:i/>
      <w:iCs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paragraph" w:styleId="NormalWeb">
    <w:name w:val="Normal (Web)"/>
    <w:basedOn w:val="Normal"/>
    <w:qFormat/>
    <w:pPr>
      <w:widowControl w:val="false"/>
      <w:suppressAutoHyphens w:val="true"/>
      <w:spacing w:lineRule="auto" w:line="240" w:before="280" w:after="280"/>
    </w:pPr>
    <w:rPr>
      <w:rFonts w:eastAsia="Andale Sans UI"/>
      <w:kern w:val="2"/>
      <w:sz w:val="24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8C30-999F-4CFA-9B9E-7913523D0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6216</TotalTime>
  <Application>LibreOffice/7.4.3.2$Windows_X86_64 LibreOffice_project/1048a8393ae2eeec98dff31b5c133c5f1d08b890</Application>
  <AppVersion>15.0000</AppVersion>
  <Pages>5</Pages>
  <Words>1528</Words>
  <Characters>10571</Characters>
  <CharactersWithSpaces>11952</CharactersWithSpaces>
  <Paragraphs>218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uk-UA</dc:language>
  <cp:lastModifiedBy/>
  <cp:lastPrinted>2025-12-24T13:22:37Z</cp:lastPrinted>
  <dcterms:modified xsi:type="dcterms:W3CDTF">2025-12-25T08:41:58Z</dcterms:modified>
  <cp:revision>386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F22C43A560294170B0894F03E13E6713_12</vt:lpwstr>
  </property>
  <property fmtid="{D5CDD505-2E9C-101B-9397-08002B2CF9AE}" pid="3" name="KSOProductBuildVer">
    <vt:lpwstr>1049-12.2.0.18607</vt:lpwstr>
  </property>
</Properties>
</file>