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5390515</wp:posOffset>
                </wp:positionH>
                <wp:positionV relativeFrom="paragraph">
                  <wp:posOffset>-433705</wp:posOffset>
                </wp:positionV>
                <wp:extent cx="7727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45pt;margin-top:-34.15pt;width:60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13.08.2020 р.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307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надання малолітньому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статусу дитини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позбавленої батьківського піклування</w:t>
      </w:r>
    </w:p>
    <w:p>
      <w:pPr>
        <w:pStyle w:val="Normal"/>
        <w:suppressAutoHyphens w:val="fals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ind w:left="0" w:right="0" w:firstLine="708"/>
        <w:jc w:val="both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На первинному обліку служби у справах дітей перебуває малолітній ХХХ ХХХХ ХХХХ, ХХХХ року народження, який залишився без батьківського піклування.</w:t>
      </w:r>
    </w:p>
    <w:p>
      <w:pPr>
        <w:pStyle w:val="Style23"/>
        <w:ind w:left="0" w:right="0"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Мати д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итини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 xml:space="preserve">гр.ХХХХ ХХХХ ХХХХ померла 25.06.2017 р.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(свідоцтво про смерть серія І-КИ №751255 від 2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7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.06.2017 р. видане Покровським міським відділом державної реєстрації актів цивільного стану Головного територіального управління юстиції у Дніпропетровській області).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ab/>
        <w:t>За рішенням Орджонікідзевського міського суду Дніпропетровської області від 31.03.2020 р., яке набрало законної сили 07.08.2020 р., батька дитини, гр.ХХХХ ХХХХ ХХХХ, ХХХХ року народження позбавлено батьківських прав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/>
      </w:pPr>
      <w:r>
        <w:rPr/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малолітньому ХХХХ ХХХХ ХХХХ, ХХХХ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1">
    <w:name w:val="Основной шрифт абзаца1"/>
    <w:qFormat/>
    <w:rPr/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LibreOffice/6.1.4.2$Windows_x86 LibreOffice_project/9d0f32d1f0b509096fd65e0d4bec26ddd1938fd3</Application>
  <Pages>1</Pages>
  <Words>198</Words>
  <Characters>1399</Characters>
  <CharactersWithSpaces>1744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2020-08-12T08:28:48Z</cp:lastPrinted>
  <dcterms:modified xsi:type="dcterms:W3CDTF">2020-08-19T11:19:17Z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