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5603875</wp:posOffset>
                </wp:positionH>
                <wp:positionV relativeFrom="paragraph">
                  <wp:posOffset>-201295</wp:posOffset>
                </wp:positionV>
                <wp:extent cx="668020" cy="170180"/>
                <wp:effectExtent l="0" t="0" r="0" b="0"/>
                <wp:wrapNone/>
                <wp:docPr id="1" name="Фігура1"/>
                <a:graphic xmlns:a="http://schemas.openxmlformats.org/drawingml/2006/main">
                  <a:graphicData uri="http://schemas.microsoft.com/office/word/2010/wordprocessingShape">
                    <wps:wsp>
                      <wps:cNvSpPr/>
                      <wps:spPr>
                        <a:xfrm>
                          <a:off x="0" y="0"/>
                          <a:ext cx="6674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rFonts w:eastAsia="Calibri" w:cs="" w:cstheme="minorBidi" w:eastAsiaTheme="minorHAnsi"/>
                                <w:color w:val="auto"/>
                              </w:rPr>
                              <w:t>копія</w:t>
                            </w:r>
                          </w:p>
                        </w:txbxContent>
                      </wps:txbx>
                      <wps:bodyPr lIns="0" rIns="0" tIns="0" bIns="0">
                        <a:spAutoFit/>
                      </wps:bodyPr>
                    </wps:wsp>
                  </a:graphicData>
                </a:graphic>
              </wp:anchor>
            </w:drawing>
          </mc:Choice>
          <mc:Fallback>
            <w:pict>
              <v:rect id="shape_0" ID="Фігура1" stroked="f" style="position:absolute;margin-left:441.25pt;margin-top:-15.85pt;width:52.5pt;height:13.3pt">
                <w10:wrap type="square"/>
                <v:fill o:detectmouseclick="t" on="false"/>
                <v:stroke color="#3465a4" joinstyle="round" endcap="flat"/>
                <v:textbox>
                  <w:txbxContent>
                    <w:p>
                      <w:pPr>
                        <w:pStyle w:val="Style21"/>
                        <w:overflowPunct w:val="true"/>
                        <w:spacing w:lineRule="auto" w:line="240" w:before="0" w:after="0"/>
                        <w:rPr>
                          <w:color w:val="auto"/>
                        </w:rPr>
                      </w:pPr>
                      <w:r>
                        <w:rPr>
                          <w:rFonts w:eastAsia="Calibri" w:cs="" w:cstheme="minorBidi" w:eastAsiaTheme="minorHAnsi"/>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33020</wp:posOffset>
                </wp:positionV>
                <wp:extent cx="6116955" cy="1079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18 грудня 2019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525</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pPr>
      <w:bookmarkStart w:id="0" w:name="__DdeLink__533_2868298884"/>
      <w:r>
        <w:rPr>
          <w:rFonts w:eastAsia="Times New Roman" w:cs="Times New Roman" w:ascii="Times New Roman" w:hAnsi="Times New Roman"/>
          <w:sz w:val="28"/>
          <w:szCs w:val="28"/>
          <w:lang w:val="uk-UA" w:eastAsia="ru-RU"/>
        </w:rPr>
        <w:t xml:space="preserve">по вул. Соборній </w:t>
      </w:r>
      <w:bookmarkEnd w:id="0"/>
      <w:r>
        <w:rPr>
          <w:rFonts w:eastAsia="Times New Roman" w:cs="Times New Roman" w:ascii="Times New Roman" w:hAnsi="Times New Roman"/>
          <w:sz w:val="28"/>
          <w:szCs w:val="28"/>
          <w:lang w:val="uk-UA" w:eastAsia="ru-RU"/>
        </w:rPr>
        <w:t>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розміщення тимчасової споруди – металевого гаража в районі житлового 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ХХХХ</w:t>
      </w:r>
      <w:r>
        <w:rPr>
          <w:rFonts w:cs="Times New Roman" w:ascii="Times New Roman" w:hAnsi="Times New Roman"/>
          <w:sz w:val="28"/>
          <w:szCs w:val="28"/>
          <w:lang w:val="uk-UA"/>
        </w:rPr>
        <w:t xml:space="preserve">, враховуючи посвідчення учасника ліквідації наслідків аварії на Чорнобильській АЕС (ІІІ група інвалідності) серія А №002910 від 23.04.2019,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розміщення тимчасової споруди – металевого гаража в районі </w:t>
      </w:r>
      <w:r>
        <w:rPr>
          <w:rFonts w:cs="Times New Roman" w:ascii="Times New Roman" w:hAnsi="Times New Roman"/>
          <w:sz w:val="28"/>
          <w:szCs w:val="28"/>
          <w:lang w:val="uk-UA"/>
        </w:rPr>
        <w:t>житлового 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ХХХХ</w:t>
      </w:r>
      <w:r>
        <w:rPr>
          <w:rFonts w:cs="Times New Roman" w:ascii="Times New Roman" w:hAnsi="Times New Roman"/>
          <w:bCs/>
          <w:sz w:val="28"/>
          <w:szCs w:val="28"/>
          <w:lang w:val="uk-UA"/>
        </w:rPr>
        <w:t xml:space="preserve"> до 31.12.2021.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bCs/>
          <w:sz w:val="28"/>
          <w:szCs w:val="28"/>
          <w:lang w:val="uk-UA" w:eastAsia="ar-SA"/>
        </w:rPr>
        <w:t>в термін до 15.01.2020: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недотриманн</w:t>
      </w:r>
      <w:r>
        <w:rPr>
          <w:rFonts w:cs="Times New Roman" w:ascii="Times New Roman" w:hAnsi="Times New Roman"/>
          <w:bCs/>
          <w:sz w:val="28"/>
          <w:szCs w:val="28"/>
          <w:lang w:eastAsia="ar-SA"/>
        </w:rPr>
        <w:t>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pPr>
      <w:r>
        <w:rPr>
          <w:rFonts w:cs="Times New Roman" w:ascii="Times New Roman" w:hAnsi="Times New Roman"/>
          <w:sz w:val="28"/>
          <w:szCs w:val="28"/>
          <w:lang w:eastAsia="ar-SA"/>
        </w:rPr>
        <w:t>Міський голова</w:t>
        <w:tab/>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812"/>
        <w:rPr>
          <w:rFonts w:ascii="Times New Roman" w:hAnsi="Times New Roman" w:cs="Times New Roman"/>
          <w:sz w:val="24"/>
          <w:szCs w:val="24"/>
        </w:rPr>
      </w:pPr>
      <w:r>
        <w:rPr>
          <w:rFonts w:cs="Times New Roman" w:ascii="Times New Roman" w:hAnsi="Times New Roman"/>
          <w:sz w:val="24"/>
          <w:szCs w:val="24"/>
        </w:rPr>
        <w:t xml:space="preserve">Додаток </w:t>
      </w:r>
    </w:p>
    <w:p>
      <w:pPr>
        <w:pStyle w:val="NoSpacing"/>
        <w:ind w:firstLine="5812"/>
        <w:rPr/>
      </w:pPr>
      <w:r>
        <w:rPr>
          <w:rFonts w:cs="Times New Roman" w:ascii="Times New Roman" w:hAnsi="Times New Roman"/>
          <w:sz w:val="24"/>
          <w:szCs w:val="24"/>
        </w:rPr>
        <w:t>до рішення №</w:t>
      </w:r>
      <w:r>
        <w:rPr>
          <w:rFonts w:cs="Times New Roman" w:ascii="Times New Roman" w:hAnsi="Times New Roman"/>
          <w:sz w:val="24"/>
          <w:szCs w:val="24"/>
          <w:lang w:val="uk-UA"/>
        </w:rPr>
        <w:t xml:space="preserve">525 </w:t>
      </w:r>
      <w:r>
        <w:rPr>
          <w:rFonts w:cs="Times New Roman" w:ascii="Times New Roman" w:hAnsi="Times New Roman"/>
          <w:sz w:val="24"/>
          <w:szCs w:val="24"/>
        </w:rPr>
        <w:t xml:space="preserve">від </w:t>
      </w:r>
      <w:r>
        <w:rPr>
          <w:rFonts w:cs="Times New Roman" w:ascii="Times New Roman" w:hAnsi="Times New Roman"/>
          <w:sz w:val="24"/>
          <w:szCs w:val="24"/>
          <w:lang w:val="uk-UA"/>
        </w:rPr>
        <w:t>18.12.</w:t>
      </w:r>
      <w:r>
        <w:rPr>
          <w:rFonts w:cs="Times New Roman" w:ascii="Times New Roman" w:hAnsi="Times New Roman"/>
          <w:sz w:val="24"/>
          <w:szCs w:val="24"/>
        </w:rPr>
        <w:t>2019</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«____»_________201_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4"/>
          <w:szCs w:val="24"/>
          <w:lang w:eastAsia="ar-SA"/>
        </w:rPr>
        <w:t>;</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4"/>
          <w:szCs w:val="24"/>
          <w:lang w:eastAsia="ar-SA"/>
        </w:rPr>
      </w:pPr>
      <w:r>
        <w:rPr>
          <w:rFonts w:cs="Times New Roman" w:ascii="Times New Roman" w:hAnsi="Times New Roman"/>
          <w:sz w:val="24"/>
          <w:szCs w:val="24"/>
          <w:lang w:val="uk-UA" w:eastAsia="ar-SA"/>
        </w:rPr>
        <w:t xml:space="preserve">М.П.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Application>LibreOffice/6.1.4.2$Windows_x86 LibreOffice_project/9d0f32d1f0b509096fd65e0d4bec26ddd1938fd3</Application>
  <Pages>5</Pages>
  <Words>1514</Words>
  <Characters>10312</Characters>
  <CharactersWithSpaces>12219</CharactersWithSpaces>
  <Paragraphs>99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uk-UA</dc:language>
  <cp:lastModifiedBy/>
  <cp:lastPrinted>2019-09-16T13:43:00Z</cp:lastPrinted>
  <dcterms:modified xsi:type="dcterms:W3CDTF">2019-12-23T16:51:12Z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