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5352415</wp:posOffset>
                </wp:positionH>
                <wp:positionV relativeFrom="paragraph">
                  <wp:posOffset>-315595</wp:posOffset>
                </wp:positionV>
                <wp:extent cx="61976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1.45pt;margin-top:-24.85pt;width:48.7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uk-UA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uk-UA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 wp14:anchorId="06A83257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 wp14:anchorId="06A83257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27 травня 2020 року                        м.Покров                                                № 204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місця розміщення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на присадибній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ділянці по вул. Каховській, 38 </w:t>
      </w:r>
    </w:p>
    <w:p>
      <w:pPr>
        <w:pStyle w:val="NoSpacing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 Дробот Надії В’ячеславівни щодо погодження місця розміщення тимчасової споруди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для провадження підприємницької діяльності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присадибній ділянці по вул. Каховській, 38, керуючись статтею 30 Закону України «Про місцеве самоврядування в Україні», статтею 28 Закону України «Про регулювання містобудівної діяльності»; пунктом 6.1.38 ДБН Б.2.2-12:2019 «Планування та забудова територій; на підставі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№244; Положення про порядок розміщення тимчасових споруд у м. Покров у новій редакції,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45 сесії міської ради 7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31.05.2019 №7;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№26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Погодити фізичній особі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Дробот Надії В’ячеславівні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місце розміщення тимчасової споруди (ТС) – торговельного павільйону для провадження підприємницької діяльності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на присадибній ділянці по                    вул. Каховській, 38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на термін користування до 01.06.2024.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sz w:val="16"/>
          <w:szCs w:val="16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 xml:space="preserve">2. Зобов’язати ФО Дробот Н.В.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в термін до 10.06.2020 оформити Паспорт прив’язки тимчасової споруди.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3. Попередити ФО 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Дробот Н.В.: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3.2. При умові недотримання вимог Паспорту прив’язки тимчасової споруди, така тимчасова споруда підлягає демонтажу.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ТС демонтує ТС або не пізніше як за місяць звертається до виконкому Покровської міської ради із заявою на продовження терміну розміщення ТС.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ab/>
        <w:tab/>
        <w:tab/>
        <w:t>А.І. Пастух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LibreOffice/6.1.4.2$Windows_x86 LibreOffice_project/9d0f32d1f0b509096fd65e0d4bec26ddd1938fd3</Application>
  <Pages>1</Pages>
  <Words>252</Words>
  <Characters>1720</Characters>
  <CharactersWithSpaces>2056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2020-05-22T08:22:00Z</dcterms:created>
  <dc:creator>digital_PC</dc:creator>
  <dc:description/>
  <dc:language>uk-UA</dc:language>
  <cp:lastModifiedBy/>
  <cp:lastPrinted>2020-05-20T10:06:00Z</cp:lastPrinted>
  <dcterms:modified xsi:type="dcterms:W3CDTF">2020-06-10T09:36:54Z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