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9.gif" ContentType="image/gif"/>
  <Override PartName="/word/media/image13.gif" ContentType="image/gif"/>
  <Override PartName="/word/media/image8.gif" ContentType="image/gif"/>
  <Override PartName="/word/media/image12.gif" ContentType="image/gif"/>
  <Override PartName="/word/media/image17.gif" ContentType="image/gif"/>
  <Override PartName="/word/media/image16.gif" ContentType="image/gif"/>
  <Override PartName="/word/media/image15.gif" ContentType="image/gif"/>
  <Override PartName="/word/media/image14.gif" ContentType="image/gif"/>
  <Override PartName="/word/media/image1.gif" ContentType="image/gif"/>
  <Override PartName="/word/media/image2.gif" ContentType="image/gif"/>
  <Override PartName="/word/media/image3.gif" ContentType="image/gif"/>
  <Override PartName="/word/media/image4.gif" ContentType="image/gif"/>
  <Override PartName="/word/media/image5.gif" ContentType="image/gif"/>
  <Override PartName="/word/media/image10.gif" ContentType="image/gif"/>
  <Override PartName="/word/media/image6.gif" ContentType="image/gif"/>
  <Override PartName="/word/media/image11.gif" ContentType="image/gif"/>
  <Override PartName="/word/media/image7.gif" ContentType="image/gif"/>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4536" w:hanging="0"/>
        <w:rPr>
          <w:b w:val="false"/>
          <w:b w:val="false"/>
          <w:bCs w:val="false"/>
          <w:color w:val="000000"/>
          <w:spacing w:val="3"/>
          <w:sz w:val="28"/>
          <w:szCs w:val="28"/>
          <w:lang w:val="uk-UA"/>
        </w:rPr>
      </w:pPr>
      <w:r>
        <w:rPr>
          <w:b w:val="false"/>
          <w:bCs w:val="false"/>
          <w:color w:val="000000"/>
          <w:spacing w:val="3"/>
          <w:sz w:val="28"/>
          <w:szCs w:val="28"/>
          <w:lang w:val="uk-UA"/>
        </w:rPr>
      </w:r>
    </w:p>
    <w:p>
      <w:pPr>
        <w:pStyle w:val="Normal"/>
        <w:spacing w:lineRule="auto" w:line="276"/>
        <w:ind w:left="0" w:right="4536" w:hanging="0"/>
        <w:rPr>
          <w:b w:val="false"/>
          <w:b w:val="false"/>
          <w:bCs w:val="false"/>
          <w:color w:val="000000"/>
          <w:spacing w:val="3"/>
          <w:sz w:val="28"/>
          <w:szCs w:val="28"/>
          <w:lang w:val="uk-UA"/>
        </w:rPr>
      </w:pPr>
      <w:r>
        <w:rPr>
          <w:b w:val="false"/>
          <w:bCs w:val="false"/>
          <w:color w:val="000000"/>
          <w:spacing w:val="3"/>
          <w:sz w:val="28"/>
          <w:szCs w:val="28"/>
          <w:lang w:val="uk-UA"/>
        </w:rPr>
        <w:t>Про затвердження Методики розрахунку орендної плати за комунальне майно Покровської міської територіальної громади Дніпропетровської області</w:t>
      </w:r>
    </w:p>
    <w:p>
      <w:pPr>
        <w:pStyle w:val="1"/>
        <w:spacing w:lineRule="auto" w:line="276"/>
        <w:ind w:left="0" w:right="0" w:firstLine="709"/>
        <w:jc w:val="both"/>
        <w:rPr/>
      </w:pPr>
      <w:r>
        <w:rPr>
          <w:rFonts w:cs="Times New Roman" w:ascii="Times New Roman" w:hAnsi="Times New Roman"/>
          <w:b w:val="false"/>
          <w:sz w:val="28"/>
          <w:szCs w:val="28"/>
          <w:shd w:fill="auto" w:val="clear"/>
          <w:lang w:val="uk-UA"/>
        </w:rPr>
        <w:t xml:space="preserve">З метою створення єдиного організаційно-економічного механізму справляння плати за оренду нерухомого та іншого майна, врегулювання господарських відносин щодо використання об’єктів комунальної власності Покровської міської територіальної громади Дніпропетровської області, керуючись Законом України "Про оренду державного та комунального майна" від 03.10.2019 №157-ІХ, статтею </w:t>
      </w:r>
      <w:r>
        <w:rPr>
          <w:rFonts w:eastAsia="Times New Roman" w:cs="Times New Roman" w:ascii="Times New Roman" w:hAnsi="Times New Roman"/>
          <w:b w:val="false"/>
          <w:bCs/>
          <w:color w:val="000000"/>
          <w:kern w:val="2"/>
          <w:sz w:val="28"/>
          <w:szCs w:val="28"/>
          <w:shd w:fill="auto" w:val="clear"/>
          <w:lang w:val="uk-UA" w:eastAsia="zxx" w:bidi="zxx"/>
        </w:rPr>
        <w:t>26, 59, 60</w:t>
      </w:r>
      <w:r>
        <w:rPr>
          <w:rFonts w:cs="Times New Roman" w:ascii="Times New Roman" w:hAnsi="Times New Roman"/>
          <w:b w:val="false"/>
          <w:sz w:val="28"/>
          <w:szCs w:val="28"/>
          <w:shd w:fill="auto" w:val="clear"/>
          <w:lang w:val="uk-UA"/>
        </w:rPr>
        <w:t xml:space="preserve"> Закону України «Про місцеве самоврядування в Україні», міська рада</w:t>
      </w:r>
    </w:p>
    <w:p>
      <w:pPr>
        <w:pStyle w:val="Normal"/>
        <w:spacing w:lineRule="auto" w:line="276"/>
        <w:jc w:val="center"/>
        <w:rPr>
          <w:rFonts w:ascii="Times New Roman" w:hAnsi="Times New Roman" w:cs="Times New Roman"/>
          <w:b/>
          <w:b/>
          <w:spacing w:val="-1"/>
          <w:sz w:val="16"/>
          <w:szCs w:val="16"/>
          <w:shd w:fill="auto" w:val="clear"/>
          <w:lang w:val="uk-UA"/>
        </w:rPr>
      </w:pPr>
      <w:r>
        <w:rPr>
          <w:rFonts w:cs="Times New Roman"/>
          <w:b/>
          <w:spacing w:val="-1"/>
          <w:sz w:val="16"/>
          <w:szCs w:val="16"/>
          <w:shd w:fill="auto" w:val="clear"/>
          <w:lang w:val="uk-UA"/>
        </w:rPr>
      </w:r>
    </w:p>
    <w:p>
      <w:pPr>
        <w:pStyle w:val="Normal"/>
        <w:spacing w:lineRule="auto" w:line="276"/>
        <w:rPr>
          <w:b/>
          <w:b/>
          <w:spacing w:val="-1"/>
          <w:sz w:val="28"/>
          <w:szCs w:val="28"/>
          <w:shd w:fill="auto" w:val="clear"/>
          <w:lang w:val="uk-UA"/>
        </w:rPr>
      </w:pPr>
      <w:r>
        <w:rPr>
          <w:b/>
          <w:spacing w:val="-1"/>
          <w:sz w:val="28"/>
          <w:szCs w:val="28"/>
          <w:shd w:fill="auto" w:val="clear"/>
          <w:lang w:val="uk-UA"/>
        </w:rPr>
        <w:t>ВИРІШИЛА:</w:t>
      </w:r>
    </w:p>
    <w:p>
      <w:pPr>
        <w:pStyle w:val="Normal"/>
        <w:spacing w:lineRule="auto" w:line="276"/>
        <w:jc w:val="center"/>
        <w:rPr>
          <w:b/>
          <w:b/>
          <w:color w:val="FF0000"/>
          <w:spacing w:val="-1"/>
          <w:sz w:val="10"/>
          <w:szCs w:val="10"/>
          <w:shd w:fill="auto" w:val="clear"/>
          <w:lang w:val="uk-UA"/>
        </w:rPr>
      </w:pPr>
      <w:r>
        <w:rPr>
          <w:b/>
          <w:color w:val="FF0000"/>
          <w:spacing w:val="-1"/>
          <w:sz w:val="10"/>
          <w:szCs w:val="10"/>
          <w:shd w:fill="auto" w:val="clear"/>
          <w:lang w:val="uk-UA"/>
        </w:rPr>
      </w:r>
    </w:p>
    <w:p>
      <w:pPr>
        <w:pStyle w:val="Normal"/>
        <w:spacing w:lineRule="auto" w:line="276"/>
        <w:ind w:left="0" w:right="0" w:firstLine="708"/>
        <w:jc w:val="both"/>
        <w:rPr>
          <w:sz w:val="28"/>
          <w:szCs w:val="28"/>
          <w:shd w:fill="auto" w:val="clear"/>
          <w:lang w:val="uk-UA"/>
        </w:rPr>
      </w:pPr>
      <w:r>
        <w:rPr>
          <w:sz w:val="28"/>
          <w:szCs w:val="28"/>
          <w:shd w:fill="auto" w:val="clear"/>
          <w:lang w:val="uk-UA"/>
        </w:rPr>
        <w:t>1. Затвердити Методику розрахунку орендної плати за комунальне майно Покровської міської територіальної громади Дніпропетровської області (додається).</w:t>
      </w:r>
    </w:p>
    <w:p>
      <w:pPr>
        <w:pStyle w:val="Normal"/>
        <w:spacing w:lineRule="auto" w:line="276"/>
        <w:ind w:left="0" w:right="0" w:firstLine="708"/>
        <w:jc w:val="both"/>
        <w:rPr>
          <w:sz w:val="28"/>
          <w:szCs w:val="28"/>
          <w:shd w:fill="auto" w:val="clear"/>
          <w:lang w:val="uk-UA"/>
        </w:rPr>
      </w:pPr>
      <w:r>
        <w:rPr>
          <w:sz w:val="28"/>
          <w:szCs w:val="28"/>
          <w:shd w:fill="auto" w:val="clear"/>
          <w:lang w:val="uk-UA"/>
        </w:rPr>
        <w:t>2</w:t>
      </w:r>
      <w:r>
        <w:rPr>
          <w:sz w:val="28"/>
          <w:szCs w:val="28"/>
          <w:shd w:fill="auto" w:val="clear"/>
          <w:lang w:val="uk-UA"/>
        </w:rPr>
        <w:t>. Контроль за виконанням цього рішення покласти на заступника міського голови Чистякова О.Г. та на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76"/>
        <w:rPr>
          <w:spacing w:val="-3"/>
          <w:sz w:val="28"/>
          <w:szCs w:val="28"/>
          <w:shd w:fill="auto" w:val="clear"/>
          <w:lang w:val="uk-UA"/>
        </w:rPr>
      </w:pPr>
      <w:r>
        <w:rPr>
          <w:spacing w:val="-3"/>
          <w:sz w:val="28"/>
          <w:szCs w:val="28"/>
          <w:shd w:fill="auto" w:val="clear"/>
          <w:lang w:val="uk-UA"/>
        </w:rPr>
      </w:r>
    </w:p>
    <w:p>
      <w:pPr>
        <w:pStyle w:val="Normal"/>
        <w:spacing w:lineRule="auto" w:line="276"/>
        <w:rPr>
          <w:spacing w:val="-3"/>
          <w:sz w:val="28"/>
          <w:szCs w:val="28"/>
          <w:shd w:fill="auto" w:val="clear"/>
          <w:lang w:val="uk-UA"/>
        </w:rPr>
      </w:pPr>
      <w:r>
        <w:rPr>
          <w:spacing w:val="-3"/>
          <w:sz w:val="28"/>
          <w:szCs w:val="28"/>
          <w:shd w:fill="auto" w:val="clear"/>
          <w:lang w:val="uk-UA"/>
        </w:rPr>
      </w:r>
    </w:p>
    <w:p>
      <w:pPr>
        <w:pStyle w:val="Normal"/>
        <w:spacing w:lineRule="auto" w:line="276"/>
        <w:rPr>
          <w:sz w:val="28"/>
          <w:szCs w:val="28"/>
          <w:lang w:val="uk-UA"/>
        </w:rPr>
      </w:pPr>
      <w:r>
        <w:rPr>
          <w:sz w:val="28"/>
          <w:szCs w:val="28"/>
          <w:lang w:val="uk-UA"/>
        </w:rPr>
        <w:t xml:space="preserve">Міський голова           </w:t>
        <w:tab/>
        <w:t xml:space="preserve">                              </w:t>
        <w:tab/>
        <w:t xml:space="preserve">        </w:t>
        <w:tab/>
        <w:tab/>
        <w:t xml:space="preserve">       </w:t>
        <w:tab/>
        <w:t xml:space="preserve">         О.М. Шаповал</w:t>
      </w:r>
    </w:p>
    <w:p>
      <w:pPr>
        <w:pStyle w:val="Normal"/>
        <w:spacing w:lineRule="auto" w:line="276"/>
        <w:rPr>
          <w:sz w:val="16"/>
          <w:szCs w:val="16"/>
          <w:lang w:val="uk-UA"/>
        </w:rPr>
      </w:pPr>
      <w:r>
        <w:rPr>
          <w:sz w:val="16"/>
          <w:szCs w:val="16"/>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t xml:space="preserve">Сідашова Т.В. 42244     </w:t>
      </w:r>
    </w:p>
    <w:p>
      <w:pPr>
        <w:pStyle w:val="Normal"/>
        <w:widowControl w:val="false"/>
        <w:suppressAutoHyphens w:val="true"/>
        <w:overflowPunct w:val="true"/>
        <w:bidi w:val="0"/>
        <w:spacing w:lineRule="auto" w:line="240" w:before="0" w:after="0"/>
        <w:ind w:left="0" w:right="0" w:firstLine="6463"/>
        <w:jc w:val="left"/>
        <w:rPr/>
      </w:pPr>
      <w:r>
        <w:rPr>
          <w:rFonts w:cs="Times New Roman"/>
          <w:sz w:val="24"/>
          <w:szCs w:val="24"/>
        </w:rPr>
        <w:t>ЗАТВЕРДЖЕНО</w:t>
      </w:r>
      <w:r>
        <w:rPr>
          <w:rFonts w:cs="Times New Roman Cyr" w:ascii="Times New Roman Cyr" w:hAnsi="Times New Roman Cyr"/>
          <w:sz w:val="24"/>
          <w:szCs w:val="24"/>
          <w:lang w:val="uk-UA" w:eastAsia="zh-CN" w:bidi="ar-SA"/>
        </w:rPr>
        <w:t xml:space="preserve">   </w:t>
      </w:r>
    </w:p>
    <w:p>
      <w:pPr>
        <w:pStyle w:val="Normal"/>
        <w:widowControl w:val="false"/>
        <w:suppressAutoHyphens w:val="true"/>
        <w:overflowPunct w:val="true"/>
        <w:bidi w:val="0"/>
        <w:spacing w:lineRule="auto" w:line="240" w:before="0" w:after="0"/>
        <w:ind w:left="0" w:right="0" w:firstLine="6463"/>
        <w:jc w:val="left"/>
        <w:rPr>
          <w:rFonts w:ascii="Times New Roman Cyr" w:hAnsi="Times New Roman Cyr" w:cs="Times New Roman Cyr"/>
          <w:sz w:val="24"/>
          <w:szCs w:val="24"/>
          <w:lang w:val="uk-UA" w:eastAsia="zh-CN" w:bidi="ar-SA"/>
        </w:rPr>
      </w:pPr>
      <w:r>
        <w:rPr>
          <w:rFonts w:cs="Times New Roman Cyr" w:ascii="Times New Roman Cyr" w:hAnsi="Times New Roman Cyr"/>
          <w:sz w:val="24"/>
          <w:szCs w:val="24"/>
          <w:lang w:val="uk-UA" w:eastAsia="zh-CN" w:bidi="ar-SA"/>
        </w:rPr>
      </w:r>
    </w:p>
    <w:p>
      <w:pPr>
        <w:pStyle w:val="Normal"/>
        <w:widowControl w:val="false"/>
        <w:suppressAutoHyphens w:val="true"/>
        <w:overflowPunct w:val="true"/>
        <w:bidi w:val="0"/>
        <w:spacing w:lineRule="auto" w:line="240" w:before="0" w:after="0"/>
        <w:ind w:left="0" w:right="0" w:firstLine="6463"/>
        <w:jc w:val="left"/>
        <w:rPr/>
      </w:pPr>
      <w:r>
        <w:rPr>
          <w:rFonts w:cs="Times New Roman Cyr" w:ascii="Times New Roman Cyr" w:hAnsi="Times New Roman Cyr"/>
          <w:sz w:val="24"/>
          <w:szCs w:val="24"/>
          <w:lang w:val="uk-UA" w:eastAsia="zh-CN" w:bidi="ar-SA"/>
        </w:rPr>
        <w:t>Рішен</w:t>
      </w:r>
      <w:r>
        <w:rPr>
          <w:rFonts w:cs="Times New Roman Cyr" w:ascii="Times New Roman Cyr" w:hAnsi="Times New Roman Cyr"/>
          <w:sz w:val="24"/>
          <w:szCs w:val="24"/>
          <w:shd w:fill="auto" w:val="clear"/>
          <w:lang w:val="uk-UA" w:eastAsia="zh-CN" w:bidi="ar-SA"/>
        </w:rPr>
        <w:t xml:space="preserve">ня </w:t>
      </w:r>
      <w:r>
        <w:rPr>
          <w:rFonts w:eastAsia="Calibri" w:cs="Times New Roman Cyr" w:ascii="Times New Roman Cyr" w:hAnsi="Times New Roman Cyr"/>
          <w:color w:val="000000"/>
          <w:sz w:val="24"/>
          <w:szCs w:val="24"/>
          <w:shd w:fill="auto" w:val="clear"/>
          <w:lang w:val="uk-UA" w:eastAsia="zh-CN" w:bidi="ar-SA"/>
        </w:rPr>
        <w:t>___</w:t>
      </w:r>
      <w:r>
        <w:rPr>
          <w:rFonts w:cs="Times New Roman Cyr" w:ascii="Times New Roman Cyr" w:hAnsi="Times New Roman Cyr"/>
          <w:sz w:val="24"/>
          <w:szCs w:val="24"/>
          <w:shd w:fill="auto" w:val="clear"/>
          <w:lang w:val="uk-UA" w:eastAsia="zh-CN" w:bidi="ar-SA"/>
        </w:rPr>
        <w:t xml:space="preserve"> с</w:t>
      </w:r>
      <w:r>
        <w:rPr>
          <w:rFonts w:cs="Times New Roman Cyr" w:ascii="Times New Roman Cyr" w:hAnsi="Times New Roman Cyr"/>
          <w:sz w:val="24"/>
          <w:szCs w:val="24"/>
          <w:lang w:val="uk-UA" w:eastAsia="zh-CN" w:bidi="ar-SA"/>
        </w:rPr>
        <w:t>есії 8 скликання</w:t>
      </w:r>
    </w:p>
    <w:p>
      <w:pPr>
        <w:pStyle w:val="Normal"/>
        <w:widowControl w:val="false"/>
        <w:suppressAutoHyphens w:val="true"/>
        <w:overflowPunct w:val="true"/>
        <w:bidi w:val="0"/>
        <w:spacing w:lineRule="auto" w:line="240" w:before="0" w:after="0"/>
        <w:ind w:left="0" w:right="0" w:firstLine="6463"/>
        <w:jc w:val="left"/>
        <w:rPr>
          <w:rFonts w:ascii="Times New Roman Cyr" w:hAnsi="Times New Roman Cyr" w:cs="Times New Roman Cyr"/>
          <w:sz w:val="24"/>
          <w:szCs w:val="24"/>
          <w:lang w:val="uk-UA" w:eastAsia="zh-CN" w:bidi="ar-SA"/>
        </w:rPr>
      </w:pPr>
      <w:r>
        <w:rPr>
          <w:rFonts w:cs="Times New Roman Cyr" w:ascii="Times New Roman Cyr" w:hAnsi="Times New Roman Cyr"/>
          <w:sz w:val="24"/>
          <w:szCs w:val="24"/>
          <w:lang w:val="uk-UA" w:eastAsia="zh-CN" w:bidi="ar-SA"/>
        </w:rPr>
        <w:t>_______________ 2021  № ___</w:t>
      </w:r>
    </w:p>
    <w:p>
      <w:pPr>
        <w:pStyle w:val="Normal"/>
        <w:spacing w:lineRule="auto" w:line="240" w:before="0" w:after="0"/>
        <w:jc w:val="both"/>
        <w:rPr>
          <w:rFonts w:ascii="Times New Roman" w:hAnsi="Times New Roman" w:cs="Times New Roman"/>
          <w:b/>
          <w:b/>
          <w:sz w:val="24"/>
          <w:szCs w:val="24"/>
        </w:rPr>
      </w:pPr>
      <w:r>
        <w:rPr>
          <w:rFonts w:cs="Times New Roman"/>
          <w:b/>
          <w:sz w:val="24"/>
          <w:szCs w:val="24"/>
        </w:rPr>
      </w:r>
    </w:p>
    <w:p>
      <w:pPr>
        <w:pStyle w:val="Style16"/>
        <w:widowControl/>
        <w:spacing w:before="15" w:after="165"/>
        <w:ind w:left="450" w:right="450" w:hanging="0"/>
        <w:jc w:val="center"/>
        <w:rPr/>
      </w:pPr>
      <w:bookmarkStart w:id="0" w:name="n10"/>
      <w:bookmarkEnd w:id="0"/>
      <w:r>
        <w:rPr>
          <w:b/>
          <w:i w:val="false"/>
          <w:caps w:val="false"/>
          <w:smallCaps w:val="false"/>
          <w:strike w:val="false"/>
          <w:dstrike w:val="false"/>
          <w:color w:val="333333"/>
          <w:spacing w:val="0"/>
          <w:sz w:val="32"/>
          <w:u w:val="none"/>
          <w:effect w:val="none"/>
        </w:rPr>
        <w:t>МЕТОДИКА</w:t>
      </w:r>
      <w:r>
        <w:rPr>
          <w:b w:val="false"/>
          <w:i w:val="false"/>
          <w:caps w:val="false"/>
          <w:smallCaps w:val="false"/>
          <w:color w:val="333333"/>
          <w:spacing w:val="0"/>
          <w:sz w:val="24"/>
        </w:rPr>
        <w:br/>
      </w:r>
      <w:r>
        <w:rPr>
          <w:b/>
          <w:i w:val="false"/>
          <w:caps w:val="false"/>
          <w:smallCaps w:val="false"/>
          <w:strike w:val="false"/>
          <w:dstrike w:val="false"/>
          <w:color w:val="333333"/>
          <w:spacing w:val="0"/>
          <w:sz w:val="32"/>
          <w:u w:val="none"/>
          <w:effect w:val="none"/>
        </w:rPr>
        <w:t>розрахунку орендної плати за за комунальне майно Покровської міської територіальної громади Дніпропетровської області</w:t>
      </w:r>
    </w:p>
    <w:p>
      <w:pPr>
        <w:pStyle w:val="Style16"/>
        <w:widowControl/>
        <w:spacing w:before="0" w:after="0"/>
        <w:ind w:left="0" w:right="0" w:firstLine="450"/>
        <w:jc w:val="both"/>
        <w:rPr/>
      </w:pPr>
      <w:bookmarkStart w:id="1" w:name="n11"/>
      <w:bookmarkEnd w:id="1"/>
      <w:r>
        <w:rPr>
          <w:b w:val="false"/>
          <w:i w:val="false"/>
          <w:caps w:val="false"/>
          <w:smallCaps w:val="false"/>
          <w:color w:val="333333"/>
          <w:spacing w:val="0"/>
          <w:sz w:val="24"/>
        </w:rPr>
        <w:t>1. Ця Методика визначає механізм визначення розміру плати за оренду об’єктів, визначених </w:t>
      </w:r>
      <w:hyperlink r:id="rId2">
        <w:r>
          <w:rPr>
            <w:b w:val="false"/>
            <w:i w:val="false"/>
            <w:caps w:val="false"/>
            <w:smallCaps w:val="false"/>
            <w:color w:val="000099"/>
            <w:spacing w:val="0"/>
            <w:sz w:val="24"/>
            <w:u w:val="single"/>
            <w:shd w:fill="auto" w:val="clear"/>
          </w:rPr>
          <w:t>частиною першою</w:t>
        </w:r>
      </w:hyperlink>
      <w:r>
        <w:rPr>
          <w:b w:val="false"/>
          <w:i w:val="false"/>
          <w:caps w:val="false"/>
          <w:smallCaps w:val="false"/>
          <w:color w:val="333333"/>
          <w:spacing w:val="0"/>
          <w:sz w:val="24"/>
        </w:rPr>
        <w:t> статті 3 Закону України “Про оренду державного та комунального майна” (далі - Закон).</w:t>
      </w:r>
    </w:p>
    <w:p>
      <w:pPr>
        <w:pStyle w:val="Style16"/>
        <w:widowControl/>
        <w:spacing w:before="0" w:after="0"/>
        <w:ind w:left="0" w:right="0" w:firstLine="450"/>
        <w:jc w:val="both"/>
        <w:rPr>
          <w:shd w:fill="auto" w:val="clear"/>
        </w:rPr>
      </w:pPr>
      <w:r>
        <w:rPr>
          <w:b w:val="false"/>
          <w:i w:val="false"/>
          <w:caps w:val="false"/>
          <w:smallCaps w:val="false"/>
          <w:color w:val="333333"/>
          <w:spacing w:val="0"/>
          <w:sz w:val="24"/>
          <w:shd w:fill="auto" w:val="clear"/>
        </w:rPr>
        <w:t>2. До плати за оренду іншого окремого індивідуально визначеного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pPr>
        <w:pStyle w:val="Style16"/>
        <w:widowControl/>
        <w:spacing w:before="0" w:after="0"/>
        <w:ind w:left="0" w:right="0" w:firstLine="450"/>
        <w:jc w:val="both"/>
        <w:rPr>
          <w:shd w:fill="auto" w:val="clear"/>
        </w:rPr>
      </w:pPr>
      <w:r>
        <w:rPr>
          <w:b w:val="false"/>
          <w:i w:val="false"/>
          <w:caps w:val="false"/>
          <w:smallCaps w:val="false"/>
          <w:color w:val="333333"/>
          <w:spacing w:val="0"/>
          <w:sz w:val="24"/>
          <w:shd w:fill="auto" w:val="clear"/>
        </w:rPr>
        <w:t>3.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w:t>
      </w:r>
    </w:p>
    <w:p>
      <w:pPr>
        <w:pStyle w:val="Style16"/>
        <w:widowControl/>
        <w:spacing w:before="0" w:after="0"/>
        <w:ind w:left="0" w:right="0" w:firstLine="450"/>
        <w:jc w:val="both"/>
        <w:rPr>
          <w:shd w:fill="auto" w:val="clear"/>
        </w:rPr>
      </w:pPr>
      <w:r>
        <w:rPr>
          <w:b w:val="false"/>
          <w:i w:val="false"/>
          <w:caps w:val="false"/>
          <w:smallCaps w:val="false"/>
          <w:color w:val="333333"/>
          <w:spacing w:val="0"/>
          <w:sz w:val="24"/>
          <w:shd w:fill="auto" w:val="clear"/>
        </w:rPr>
        <w:t>4. У разі оренди нерухомого майна (крім оренди нерухомого майна орендарями, зазначеними у </w:t>
      </w:r>
      <w:r>
        <w:rPr>
          <w:b w:val="false"/>
          <w:i w:val="false"/>
          <w:caps w:val="false"/>
          <w:smallCaps w:val="false"/>
          <w:color w:val="000000"/>
          <w:spacing w:val="0"/>
          <w:sz w:val="24"/>
          <w:u w:val="none"/>
          <w:shd w:fill="auto" w:val="clear"/>
        </w:rPr>
        <w:t>пункті 11 цієї М</w:t>
      </w:r>
      <w:r>
        <w:rPr>
          <w:b w:val="false"/>
          <w:i w:val="false"/>
          <w:caps w:val="false"/>
          <w:smallCaps w:val="false"/>
          <w:color w:val="333333"/>
          <w:spacing w:val="0"/>
          <w:sz w:val="24"/>
          <w:shd w:fill="auto" w:val="clear"/>
        </w:rPr>
        <w:t>етодики) та іншого окремого індивідуально визначеного майна розмір річної орендної плати визначається за формулою:</w:t>
      </w:r>
    </w:p>
    <w:p>
      <w:pPr>
        <w:pStyle w:val="Style16"/>
        <w:widowControl/>
        <w:spacing w:before="150" w:after="150"/>
        <w:ind w:left="0" w:right="0" w:hanging="0"/>
        <w:jc w:val="center"/>
        <w:rPr>
          <w:shd w:fill="auto" w:val="clear"/>
        </w:rPr>
      </w:pPr>
      <w:bookmarkStart w:id="2" w:name="n226"/>
      <w:bookmarkEnd w:id="2"/>
      <w:r>
        <w:rPr/>
        <w:drawing>
          <wp:inline distT="0" distB="0" distL="0" distR="0">
            <wp:extent cx="1266825" cy="457200"/>
            <wp:effectExtent l="0" t="0" r="0" b="0"/>
            <wp:docPr id="1" name="Изображение1" desc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a:hlinkClick r:id="rId4"/>
                    </pic:cNvPr>
                    <pic:cNvPicPr>
                      <a:picLocks noChangeAspect="1" noChangeArrowheads="1"/>
                    </pic:cNvPicPr>
                  </pic:nvPicPr>
                  <pic:blipFill>
                    <a:blip r:embed="rId3"/>
                    <a:stretch>
                      <a:fillRect/>
                    </a:stretch>
                  </pic:blipFill>
                  <pic:spPr bwMode="auto">
                    <a:xfrm>
                      <a:off x="0" y="0"/>
                      <a:ext cx="1266825" cy="457200"/>
                    </a:xfrm>
                    <a:prstGeom prst="rect">
                      <a:avLst/>
                    </a:prstGeom>
                  </pic:spPr>
                </pic:pic>
              </a:graphicData>
            </a:graphic>
          </wp:inline>
        </w:drawing>
      </w:r>
    </w:p>
    <w:p>
      <w:pPr>
        <w:pStyle w:val="Normal"/>
        <w:spacing w:before="0" w:after="0"/>
        <w:ind w:left="0" w:right="0" w:hanging="0"/>
        <w:rPr>
          <w:sz w:val="4"/>
          <w:szCs w:val="4"/>
          <w:shd w:fill="auto" w:val="clear"/>
        </w:rPr>
      </w:pPr>
      <w:r>
        <w:rPr>
          <w:sz w:val="4"/>
          <w:szCs w:val="4"/>
          <w:shd w:fill="auto" w:val="clear"/>
        </w:rPr>
      </w:r>
      <w:bookmarkStart w:id="3" w:name="n228"/>
      <w:bookmarkStart w:id="4" w:name="n228"/>
      <w:bookmarkEnd w:id="4"/>
    </w:p>
    <w:tbl>
      <w:tblPr>
        <w:tblW w:w="5000" w:type="pct"/>
        <w:jc w:val="center"/>
        <w:tblInd w:w="0" w:type="dxa"/>
        <w:tblLayout w:type="fixed"/>
        <w:tblCellMar>
          <w:top w:w="0" w:type="dxa"/>
          <w:left w:w="0" w:type="dxa"/>
          <w:bottom w:w="0" w:type="dxa"/>
          <w:right w:w="0" w:type="dxa"/>
        </w:tblCellMar>
      </w:tblPr>
      <w:tblGrid>
        <w:gridCol w:w="796"/>
        <w:gridCol w:w="1064"/>
        <w:gridCol w:w="7778"/>
      </w:tblGrid>
      <w:tr>
        <w:trPr/>
        <w:tc>
          <w:tcPr>
            <w:tcW w:w="796" w:type="dxa"/>
            <w:tcBorders/>
          </w:tcPr>
          <w:p>
            <w:pPr>
              <w:pStyle w:val="Style24"/>
              <w:widowControl w:val="false"/>
              <w:spacing w:before="0" w:after="150"/>
              <w:ind w:left="0" w:right="0" w:firstLine="450"/>
              <w:jc w:val="both"/>
              <w:rPr>
                <w:shd w:fill="auto" w:val="clear"/>
              </w:rPr>
            </w:pPr>
            <w:r>
              <w:rPr>
                <w:shd w:fill="auto" w:val="clear"/>
              </w:rPr>
              <w:t>де</w:t>
            </w:r>
          </w:p>
        </w:tc>
        <w:tc>
          <w:tcPr>
            <w:tcW w:w="1064" w:type="dxa"/>
            <w:tcBorders/>
          </w:tcPr>
          <w:p>
            <w:pPr>
              <w:pStyle w:val="Style24"/>
              <w:widowControl w:val="false"/>
              <w:spacing w:before="150" w:after="150"/>
              <w:ind w:left="0" w:right="0" w:hanging="0"/>
              <w:jc w:val="center"/>
              <w:rPr>
                <w:shd w:fill="auto" w:val="clear"/>
              </w:rPr>
            </w:pPr>
            <w:r>
              <w:rPr/>
              <w:drawing>
                <wp:inline distT="0" distB="0" distL="0" distR="0">
                  <wp:extent cx="238125" cy="219075"/>
                  <wp:effectExtent l="0" t="0" r="0" b="0"/>
                  <wp:docPr id="2" name="Изображение2"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a:hlinkClick r:id="rId6"/>
                          </pic:cNvPr>
                          <pic:cNvPicPr>
                            <a:picLocks noChangeAspect="1" noChangeArrowheads="1"/>
                          </pic:cNvPicPr>
                        </pic:nvPicPr>
                        <pic:blipFill>
                          <a:blip r:embed="rId5"/>
                          <a:stretch>
                            <a:fillRect/>
                          </a:stretch>
                        </pic:blipFill>
                        <pic:spPr bwMode="auto">
                          <a:xfrm>
                            <a:off x="0" y="0"/>
                            <a:ext cx="238125" cy="219075"/>
                          </a:xfrm>
                          <a:prstGeom prst="rect">
                            <a:avLst/>
                          </a:prstGeom>
                        </pic:spPr>
                      </pic:pic>
                    </a:graphicData>
                  </a:graphic>
                </wp:inline>
              </w:drawing>
            </w:r>
          </w:p>
        </w:tc>
        <w:tc>
          <w:tcPr>
            <w:tcW w:w="7778" w:type="dxa"/>
            <w:tcBorders/>
          </w:tcPr>
          <w:p>
            <w:pPr>
              <w:pStyle w:val="Style24"/>
              <w:widowControl w:val="false"/>
              <w:spacing w:before="0" w:after="150"/>
              <w:ind w:left="0" w:right="0" w:hanging="0"/>
              <w:jc w:val="both"/>
              <w:rPr>
                <w:shd w:fill="auto" w:val="clear"/>
              </w:rPr>
            </w:pPr>
            <w:r>
              <w:rPr>
                <w:shd w:fill="auto" w:val="clear"/>
              </w:rPr>
              <w:t>- розмір річної орендної плати, гривень;</w:t>
            </w:r>
          </w:p>
        </w:tc>
      </w:tr>
      <w:tr>
        <w:trPr/>
        <w:tc>
          <w:tcPr>
            <w:tcW w:w="796" w:type="dxa"/>
            <w:tcBorders/>
          </w:tcPr>
          <w:p>
            <w:pPr>
              <w:pStyle w:val="Style24"/>
              <w:widowControl w:val="false"/>
              <w:rPr>
                <w:shd w:fill="auto" w:val="clear"/>
              </w:rPr>
            </w:pPr>
            <w:r>
              <w:rPr>
                <w:shd w:fill="auto" w:val="clear"/>
              </w:rPr>
            </w:r>
          </w:p>
        </w:tc>
        <w:tc>
          <w:tcPr>
            <w:tcW w:w="1064" w:type="dxa"/>
            <w:tcBorders/>
          </w:tcPr>
          <w:p>
            <w:pPr>
              <w:pStyle w:val="Style24"/>
              <w:widowControl w:val="false"/>
              <w:spacing w:before="150" w:after="150"/>
              <w:ind w:left="0" w:right="0" w:hanging="0"/>
              <w:jc w:val="center"/>
              <w:rPr>
                <w:shd w:fill="auto" w:val="clear"/>
              </w:rPr>
            </w:pPr>
            <w:r>
              <w:rPr/>
              <w:drawing>
                <wp:inline distT="0" distB="0" distL="0" distR="0">
                  <wp:extent cx="190500" cy="190500"/>
                  <wp:effectExtent l="0" t="0" r="0" b="0"/>
                  <wp:docPr id="3" name="Изображение3"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a:hlinkClick r:id="rId8"/>
                          </pic:cNvPr>
                          <pic:cNvPicPr>
                            <a:picLocks noChangeAspect="1" noChangeArrowheads="1"/>
                          </pic:cNvPicPr>
                        </pic:nvPicPr>
                        <pic:blipFill>
                          <a:blip r:embed="rId7"/>
                          <a:stretch>
                            <a:fillRect/>
                          </a:stretch>
                        </pic:blipFill>
                        <pic:spPr bwMode="auto">
                          <a:xfrm>
                            <a:off x="0" y="0"/>
                            <a:ext cx="190500" cy="190500"/>
                          </a:xfrm>
                          <a:prstGeom prst="rect">
                            <a:avLst/>
                          </a:prstGeom>
                        </pic:spPr>
                      </pic:pic>
                    </a:graphicData>
                  </a:graphic>
                </wp:inline>
              </w:drawing>
            </w:r>
          </w:p>
        </w:tc>
        <w:tc>
          <w:tcPr>
            <w:tcW w:w="7778" w:type="dxa"/>
            <w:tcBorders/>
          </w:tcPr>
          <w:p>
            <w:pPr>
              <w:pStyle w:val="Style24"/>
              <w:widowControl w:val="false"/>
              <w:spacing w:before="0" w:after="150"/>
              <w:ind w:left="0" w:right="0" w:hanging="0"/>
              <w:jc w:val="both"/>
              <w:rPr>
                <w:shd w:fill="auto" w:val="clear"/>
              </w:rPr>
            </w:pPr>
            <w:r>
              <w:rPr>
                <w:shd w:fill="auto" w:val="clear"/>
              </w:rPr>
              <w:t>- вартість орендованого майна, визначена шляхом проведення незалежної оцінки (без урахування податку на додану вартість), гривень;</w:t>
            </w:r>
          </w:p>
        </w:tc>
      </w:tr>
      <w:tr>
        <w:trPr/>
        <w:tc>
          <w:tcPr>
            <w:tcW w:w="796" w:type="dxa"/>
            <w:tcBorders/>
          </w:tcPr>
          <w:p>
            <w:pPr>
              <w:pStyle w:val="Style24"/>
              <w:widowControl w:val="false"/>
              <w:rPr>
                <w:shd w:fill="auto" w:val="clear"/>
              </w:rPr>
            </w:pPr>
            <w:r>
              <w:rPr>
                <w:shd w:fill="auto" w:val="clear"/>
              </w:rPr>
            </w:r>
          </w:p>
        </w:tc>
        <w:tc>
          <w:tcPr>
            <w:tcW w:w="1064" w:type="dxa"/>
            <w:tcBorders/>
          </w:tcPr>
          <w:p>
            <w:pPr>
              <w:pStyle w:val="Style24"/>
              <w:widowControl w:val="false"/>
              <w:spacing w:before="150" w:after="150"/>
              <w:ind w:left="0" w:right="0" w:hanging="0"/>
              <w:jc w:val="center"/>
              <w:rPr>
                <w:shd w:fill="auto" w:val="clear"/>
              </w:rPr>
            </w:pPr>
            <w:r>
              <w:rPr/>
              <w:drawing>
                <wp:inline distT="0" distB="0" distL="0" distR="0">
                  <wp:extent cx="228600" cy="228600"/>
                  <wp:effectExtent l="0" t="0" r="0" b="0"/>
                  <wp:docPr id="4" name="Изображение4" desc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a:hlinkClick r:id="rId10"/>
                          </pic:cNvPr>
                          <pic:cNvPicPr>
                            <a:picLocks noChangeAspect="1" noChangeArrowheads="1"/>
                          </pic:cNvPicPr>
                        </pic:nvPicPr>
                        <pic:blipFill>
                          <a:blip r:embed="rId9"/>
                          <a:stretch>
                            <a:fillRect/>
                          </a:stretch>
                        </pic:blipFill>
                        <pic:spPr bwMode="auto">
                          <a:xfrm>
                            <a:off x="0" y="0"/>
                            <a:ext cx="228600" cy="228600"/>
                          </a:xfrm>
                          <a:prstGeom prst="rect">
                            <a:avLst/>
                          </a:prstGeom>
                        </pic:spPr>
                      </pic:pic>
                    </a:graphicData>
                  </a:graphic>
                </wp:inline>
              </w:drawing>
            </w:r>
          </w:p>
        </w:tc>
        <w:tc>
          <w:tcPr>
            <w:tcW w:w="7778" w:type="dxa"/>
            <w:tcBorders/>
          </w:tcPr>
          <w:p>
            <w:pPr>
              <w:pStyle w:val="Style24"/>
              <w:widowControl w:val="false"/>
              <w:spacing w:before="0" w:after="150"/>
              <w:ind w:left="0" w:right="0" w:hanging="0"/>
              <w:jc w:val="both"/>
              <w:rPr/>
            </w:pPr>
            <w:r>
              <w:rPr>
                <w:shd w:fill="auto" w:val="clear"/>
              </w:rPr>
              <w:t>- орендна ставка, визначена згідно з </w:t>
            </w:r>
            <w:r>
              <w:rPr>
                <w:b w:val="false"/>
                <w:i w:val="false"/>
                <w:caps w:val="false"/>
                <w:smallCaps w:val="false"/>
                <w:color w:val="006600"/>
                <w:sz w:val="24"/>
                <w:u w:val="single"/>
                <w:shd w:fill="auto" w:val="clear"/>
              </w:rPr>
              <w:t>додатком 1</w:t>
            </w:r>
            <w:r>
              <w:rPr>
                <w:shd w:fill="auto" w:val="clear"/>
              </w:rPr>
              <w:t> (у разі укладення договору з орендарем відповідно до </w:t>
            </w:r>
            <w:hyperlink r:id="rId11">
              <w:r>
                <w:rPr>
                  <w:b w:val="false"/>
                  <w:i w:val="false"/>
                  <w:caps w:val="false"/>
                  <w:smallCaps w:val="false"/>
                  <w:color w:val="000099"/>
                  <w:sz w:val="24"/>
                  <w:u w:val="single"/>
                  <w:shd w:fill="auto" w:val="clear"/>
                </w:rPr>
                <w:t>статті 15</w:t>
              </w:r>
            </w:hyperlink>
            <w:r>
              <w:rPr>
                <w:shd w:fill="auto" w:val="clear"/>
              </w:rPr>
              <w:t> Закону) або </w:t>
            </w:r>
            <w:r>
              <w:rPr>
                <w:b w:val="false"/>
                <w:i w:val="false"/>
                <w:caps w:val="false"/>
                <w:smallCaps w:val="false"/>
                <w:color w:val="006600"/>
                <w:sz w:val="24"/>
                <w:u w:val="single"/>
                <w:shd w:fill="auto" w:val="clear"/>
              </w:rPr>
              <w:t>додатком 2</w:t>
            </w:r>
            <w:r>
              <w:rPr>
                <w:shd w:fill="auto" w:val="clear"/>
              </w:rPr>
              <w:t> (для договорів оренди, які продовжуються вперше) аб</w:t>
            </w:r>
            <w:r>
              <w:rPr>
                <w:color w:val="000000"/>
                <w:u w:val="none"/>
                <w:shd w:fill="auto" w:val="clear"/>
              </w:rPr>
              <w:t>о </w:t>
            </w:r>
            <w:r>
              <w:rPr>
                <w:b w:val="false"/>
                <w:i w:val="false"/>
                <w:caps w:val="false"/>
                <w:smallCaps w:val="false"/>
                <w:color w:val="000000"/>
                <w:sz w:val="24"/>
                <w:u w:val="none"/>
                <w:shd w:fill="auto" w:val="clear"/>
              </w:rPr>
              <w:t>пунктом 12</w:t>
            </w:r>
            <w:r>
              <w:rPr>
                <w:color w:val="000000"/>
                <w:u w:val="none"/>
                <w:shd w:fill="auto" w:val="clear"/>
              </w:rPr>
              <w:t> цієї Методики для іншого окремого індивідуально визначеного майна.</w:t>
            </w:r>
          </w:p>
        </w:tc>
      </w:tr>
    </w:tbl>
    <w:p>
      <w:pPr>
        <w:pStyle w:val="Style16"/>
        <w:widowControl/>
        <w:spacing w:before="0" w:after="36"/>
        <w:ind w:left="0" w:right="0" w:firstLine="450"/>
        <w:jc w:val="both"/>
        <w:rPr>
          <w:b w:val="false"/>
          <w:b w:val="false"/>
          <w:i w:val="false"/>
          <w:i w:val="false"/>
          <w:caps w:val="false"/>
          <w:smallCaps w:val="false"/>
          <w:color w:val="333333"/>
          <w:spacing w:val="0"/>
          <w:sz w:val="24"/>
          <w:shd w:fill="auto" w:val="clear"/>
        </w:rPr>
      </w:pPr>
      <w:r>
        <w:rPr>
          <w:b w:val="false"/>
          <w:i w:val="false"/>
          <w:caps w:val="false"/>
          <w:smallCaps w:val="false"/>
          <w:color w:val="333333"/>
          <w:spacing w:val="0"/>
          <w:sz w:val="24"/>
          <w:shd w:fill="auto" w:val="clear"/>
        </w:rPr>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5. Розмір орендної плати за базовий місяць оренди нерухомого та іншого окремого індивідуально визначеного майна визначається за формулою:</w:t>
      </w:r>
    </w:p>
    <w:p>
      <w:pPr>
        <w:pStyle w:val="Style16"/>
        <w:widowControl/>
        <w:spacing w:before="150" w:after="150"/>
        <w:ind w:left="0" w:right="0" w:hanging="0"/>
        <w:jc w:val="center"/>
        <w:rPr/>
      </w:pPr>
      <w:bookmarkStart w:id="5" w:name="n25"/>
      <w:bookmarkEnd w:id="5"/>
      <w:r>
        <w:rPr/>
        <w:drawing>
          <wp:inline distT="0" distB="0" distL="0" distR="0">
            <wp:extent cx="981075" cy="447675"/>
            <wp:effectExtent l="0" t="0" r="0" b="0"/>
            <wp:docPr id="5" name="Изображение5" desc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a:hlinkClick r:id="rId13"/>
                    </pic:cNvPr>
                    <pic:cNvPicPr>
                      <a:picLocks noChangeAspect="1" noChangeArrowheads="1"/>
                    </pic:cNvPicPr>
                  </pic:nvPicPr>
                  <pic:blipFill>
                    <a:blip r:embed="rId12"/>
                    <a:stretch>
                      <a:fillRect/>
                    </a:stretch>
                  </pic:blipFill>
                  <pic:spPr bwMode="auto">
                    <a:xfrm>
                      <a:off x="0" y="0"/>
                      <a:ext cx="981075" cy="447675"/>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6" w:name="n230"/>
      <w:bookmarkStart w:id="7" w:name="n230"/>
      <w:bookmarkEnd w:id="7"/>
    </w:p>
    <w:tbl>
      <w:tblPr>
        <w:tblW w:w="5000" w:type="pct"/>
        <w:jc w:val="center"/>
        <w:tblInd w:w="0" w:type="dxa"/>
        <w:tblLayout w:type="fixed"/>
        <w:tblCellMar>
          <w:top w:w="0" w:type="dxa"/>
          <w:left w:w="0" w:type="dxa"/>
          <w:bottom w:w="0" w:type="dxa"/>
          <w:right w:w="0" w:type="dxa"/>
        </w:tblCellMar>
      </w:tblPr>
      <w:tblGrid>
        <w:gridCol w:w="530"/>
        <w:gridCol w:w="1252"/>
        <w:gridCol w:w="7856"/>
      </w:tblGrid>
      <w:tr>
        <w:trPr/>
        <w:tc>
          <w:tcPr>
            <w:tcW w:w="530" w:type="dxa"/>
            <w:tcBorders/>
          </w:tcPr>
          <w:p>
            <w:pPr>
              <w:pStyle w:val="Style24"/>
              <w:widowControl w:val="false"/>
              <w:spacing w:before="150" w:after="150"/>
              <w:ind w:left="0" w:right="0" w:hanging="0"/>
              <w:jc w:val="center"/>
              <w:rPr/>
            </w:pPr>
            <w:r>
              <w:rPr/>
              <w:t>де</w:t>
            </w:r>
          </w:p>
        </w:tc>
        <w:tc>
          <w:tcPr>
            <w:tcW w:w="1252" w:type="dxa"/>
            <w:tcBorders/>
          </w:tcPr>
          <w:p>
            <w:pPr>
              <w:pStyle w:val="Style24"/>
              <w:widowControl w:val="false"/>
              <w:spacing w:before="150" w:after="150"/>
              <w:ind w:left="0" w:right="0" w:hanging="0"/>
              <w:jc w:val="center"/>
              <w:rPr/>
            </w:pPr>
            <w:r>
              <w:rPr/>
              <w:drawing>
                <wp:inline distT="0" distB="0" distL="0" distR="0">
                  <wp:extent cx="381000" cy="219075"/>
                  <wp:effectExtent l="0" t="0" r="0" b="0"/>
                  <wp:docPr id="6" name="Изображение6" desc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a:hlinkClick r:id="rId15"/>
                          </pic:cNvPr>
                          <pic:cNvPicPr>
                            <a:picLocks noChangeAspect="1" noChangeArrowheads="1"/>
                          </pic:cNvPicPr>
                        </pic:nvPicPr>
                        <pic:blipFill>
                          <a:blip r:embed="rId14"/>
                          <a:stretch>
                            <a:fillRect/>
                          </a:stretch>
                        </pic:blipFill>
                        <pic:spPr bwMode="auto">
                          <a:xfrm>
                            <a:off x="0" y="0"/>
                            <a:ext cx="381000" cy="219075"/>
                          </a:xfrm>
                          <a:prstGeom prst="rect">
                            <a:avLst/>
                          </a:prstGeom>
                        </pic:spPr>
                      </pic:pic>
                    </a:graphicData>
                  </a:graphic>
                </wp:inline>
              </w:drawing>
            </w:r>
          </w:p>
        </w:tc>
        <w:tc>
          <w:tcPr>
            <w:tcW w:w="7856" w:type="dxa"/>
            <w:tcBorders/>
          </w:tcPr>
          <w:p>
            <w:pPr>
              <w:pStyle w:val="Style24"/>
              <w:widowControl w:val="false"/>
              <w:spacing w:before="150" w:after="150"/>
              <w:ind w:left="0" w:right="0" w:hanging="0"/>
              <w:jc w:val="left"/>
              <w:rPr/>
            </w:pPr>
            <w:r>
              <w:rPr/>
              <w:t>- розмір місячної орендної плати, гривень.</w:t>
            </w:r>
          </w:p>
        </w:tc>
      </w:tr>
    </w:tbl>
    <w:p>
      <w:pPr>
        <w:pStyle w:val="Style16"/>
        <w:widowControl/>
        <w:spacing w:before="0" w:after="0"/>
        <w:ind w:left="0" w:right="0" w:firstLine="450"/>
        <w:jc w:val="both"/>
        <w:rPr/>
      </w:pPr>
      <w:bookmarkStart w:id="8" w:name="n27"/>
      <w:bookmarkEnd w:id="8"/>
      <w:r>
        <w:rPr>
          <w:b w:val="false"/>
          <w:i w:val="false"/>
          <w:caps w:val="false"/>
          <w:smallCaps w:val="false"/>
          <w:color w:val="333333"/>
          <w:spacing w:val="0"/>
          <w:sz w:val="24"/>
        </w:rPr>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 xml:space="preserve">Форма розрахунку орендної плати за базовий місяць наведена </w:t>
      </w:r>
      <w:r>
        <w:rPr>
          <w:b w:val="false"/>
          <w:i w:val="false"/>
          <w:caps w:val="false"/>
          <w:smallCaps w:val="false"/>
          <w:color w:val="333333"/>
          <w:spacing w:val="0"/>
          <w:sz w:val="24"/>
          <w:u w:val="single"/>
          <w:shd w:fill="auto" w:val="clear"/>
        </w:rPr>
        <w:t>у </w:t>
      </w:r>
      <w:r>
        <w:rPr>
          <w:b w:val="false"/>
          <w:i w:val="false"/>
          <w:caps w:val="false"/>
          <w:smallCaps w:val="false"/>
          <w:color w:val="006600"/>
          <w:spacing w:val="0"/>
          <w:sz w:val="24"/>
          <w:u w:val="single"/>
          <w:shd w:fill="auto" w:val="clear"/>
        </w:rPr>
        <w:t>додатку 3</w:t>
      </w:r>
      <w:r>
        <w:rPr>
          <w:b w:val="false"/>
          <w:i w:val="false"/>
          <w:caps w:val="false"/>
          <w:smallCaps w:val="false"/>
          <w:color w:val="000000"/>
          <w:spacing w:val="0"/>
          <w:sz w:val="24"/>
          <w:u w:val="none"/>
          <w:shd w:fill="auto" w:val="clear"/>
        </w:rPr>
        <w:t>.</w:t>
      </w:r>
    </w:p>
    <w:p>
      <w:pPr>
        <w:pStyle w:val="Style16"/>
        <w:widowControl/>
        <w:spacing w:before="0" w:after="36"/>
        <w:ind w:left="0" w:right="0" w:firstLine="450"/>
        <w:jc w:val="both"/>
        <w:rPr/>
      </w:pPr>
      <w:r>
        <w:rPr>
          <w:b w:val="false"/>
          <w:i w:val="false"/>
          <w:caps w:val="false"/>
          <w:smallCaps w:val="false"/>
          <w:color w:val="333333"/>
          <w:spacing w:val="0"/>
          <w:sz w:val="24"/>
          <w:shd w:fill="auto" w:val="clear"/>
        </w:rPr>
        <w:t>6. Розмір добової орендної плати розраховується на основі розміру місячної орендної плати з розрахунку кількості днів у місяці фактичного користуван</w:t>
      </w:r>
      <w:r>
        <w:rPr>
          <w:b w:val="false"/>
          <w:i w:val="false"/>
          <w:caps w:val="false"/>
          <w:smallCaps w:val="false"/>
          <w:color w:val="333333"/>
          <w:spacing w:val="0"/>
          <w:sz w:val="24"/>
        </w:rPr>
        <w:t>ня за формулою:</w:t>
      </w:r>
    </w:p>
    <w:p>
      <w:pPr>
        <w:pStyle w:val="Style16"/>
        <w:widowControl/>
        <w:spacing w:before="150" w:after="150"/>
        <w:ind w:left="0" w:right="0" w:hanging="0"/>
        <w:jc w:val="center"/>
        <w:rPr/>
      </w:pPr>
      <w:bookmarkStart w:id="9" w:name="n29"/>
      <w:bookmarkEnd w:id="9"/>
      <w:r>
        <w:rPr/>
        <w:drawing>
          <wp:inline distT="0" distB="0" distL="0" distR="0">
            <wp:extent cx="1276350" cy="466725"/>
            <wp:effectExtent l="0" t="0" r="0" b="0"/>
            <wp:docPr id="7" name="Изображение7" desc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a:hlinkClick r:id="rId17"/>
                    </pic:cNvPr>
                    <pic:cNvPicPr>
                      <a:picLocks noChangeAspect="1" noChangeArrowheads="1"/>
                    </pic:cNvPicPr>
                  </pic:nvPicPr>
                  <pic:blipFill>
                    <a:blip r:embed="rId16"/>
                    <a:stretch>
                      <a:fillRect/>
                    </a:stretch>
                  </pic:blipFill>
                  <pic:spPr bwMode="auto">
                    <a:xfrm>
                      <a:off x="0" y="0"/>
                      <a:ext cx="1276350" cy="466725"/>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10" w:name="n232"/>
      <w:bookmarkStart w:id="11" w:name="n232"/>
      <w:bookmarkEnd w:id="11"/>
    </w:p>
    <w:tbl>
      <w:tblPr>
        <w:tblW w:w="5000" w:type="pct"/>
        <w:jc w:val="center"/>
        <w:tblInd w:w="0" w:type="dxa"/>
        <w:tblLayout w:type="fixed"/>
        <w:tblCellMar>
          <w:top w:w="0" w:type="dxa"/>
          <w:left w:w="0" w:type="dxa"/>
          <w:bottom w:w="0" w:type="dxa"/>
          <w:right w:w="0" w:type="dxa"/>
        </w:tblCellMar>
      </w:tblPr>
      <w:tblGrid>
        <w:gridCol w:w="520"/>
        <w:gridCol w:w="1237"/>
        <w:gridCol w:w="7881"/>
      </w:tblGrid>
      <w:tr>
        <w:trPr/>
        <w:tc>
          <w:tcPr>
            <w:tcW w:w="520" w:type="dxa"/>
            <w:tcBorders/>
          </w:tcPr>
          <w:p>
            <w:pPr>
              <w:pStyle w:val="Style24"/>
              <w:widowControl w:val="false"/>
              <w:spacing w:before="150" w:after="150"/>
              <w:ind w:left="0" w:right="0" w:hanging="0"/>
              <w:jc w:val="center"/>
              <w:rPr/>
            </w:pPr>
            <w:r>
              <w:rPr/>
              <w:t>де</w:t>
            </w:r>
          </w:p>
        </w:tc>
        <w:tc>
          <w:tcPr>
            <w:tcW w:w="1237" w:type="dxa"/>
            <w:tcBorders/>
          </w:tcPr>
          <w:p>
            <w:pPr>
              <w:pStyle w:val="Style24"/>
              <w:widowControl w:val="false"/>
              <w:spacing w:before="150" w:after="150"/>
              <w:ind w:left="0" w:right="0" w:hanging="0"/>
              <w:jc w:val="center"/>
              <w:rPr/>
            </w:pPr>
            <w:r>
              <w:rPr/>
              <w:drawing>
                <wp:inline distT="0" distB="0" distL="0" distR="0">
                  <wp:extent cx="400050" cy="219075"/>
                  <wp:effectExtent l="0" t="0" r="0" b="0"/>
                  <wp:docPr id="8" name="Изображение8" desc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a:hlinkClick r:id="rId19"/>
                          </pic:cNvPr>
                          <pic:cNvPicPr>
                            <a:picLocks noChangeAspect="1" noChangeArrowheads="1"/>
                          </pic:cNvPicPr>
                        </pic:nvPicPr>
                        <pic:blipFill>
                          <a:blip r:embed="rId18"/>
                          <a:stretch>
                            <a:fillRect/>
                          </a:stretch>
                        </pic:blipFill>
                        <pic:spPr bwMode="auto">
                          <a:xfrm>
                            <a:off x="0" y="0"/>
                            <a:ext cx="400050" cy="219075"/>
                          </a:xfrm>
                          <a:prstGeom prst="rect">
                            <a:avLst/>
                          </a:prstGeom>
                        </pic:spPr>
                      </pic:pic>
                    </a:graphicData>
                  </a:graphic>
                </wp:inline>
              </w:drawing>
            </w:r>
          </w:p>
        </w:tc>
        <w:tc>
          <w:tcPr>
            <w:tcW w:w="7881" w:type="dxa"/>
            <w:tcBorders/>
          </w:tcPr>
          <w:p>
            <w:pPr>
              <w:pStyle w:val="Style24"/>
              <w:widowControl w:val="false"/>
              <w:spacing w:before="150" w:after="150"/>
              <w:ind w:left="0" w:right="0" w:hanging="0"/>
              <w:jc w:val="left"/>
              <w:rPr/>
            </w:pPr>
            <w:r>
              <w:rPr/>
              <w:t>- розмір добової орендної плати, гривень;</w:t>
            </w:r>
          </w:p>
        </w:tc>
      </w:tr>
      <w:tr>
        <w:trPr/>
        <w:tc>
          <w:tcPr>
            <w:tcW w:w="520" w:type="dxa"/>
            <w:tcBorders/>
          </w:tcPr>
          <w:p>
            <w:pPr>
              <w:pStyle w:val="Style24"/>
              <w:widowControl w:val="false"/>
              <w:rPr/>
            </w:pPr>
            <w:r>
              <w:rPr/>
            </w:r>
          </w:p>
        </w:tc>
        <w:tc>
          <w:tcPr>
            <w:tcW w:w="1237" w:type="dxa"/>
            <w:tcBorders/>
          </w:tcPr>
          <w:p>
            <w:pPr>
              <w:pStyle w:val="Style24"/>
              <w:widowControl w:val="false"/>
              <w:spacing w:before="150" w:after="150"/>
              <w:ind w:left="0" w:right="0" w:hanging="0"/>
              <w:jc w:val="center"/>
              <w:rPr/>
            </w:pPr>
            <w:r>
              <w:rPr/>
              <w:t>Х</w:t>
            </w:r>
          </w:p>
        </w:tc>
        <w:tc>
          <w:tcPr>
            <w:tcW w:w="7881" w:type="dxa"/>
            <w:tcBorders/>
          </w:tcPr>
          <w:p>
            <w:pPr>
              <w:pStyle w:val="Style24"/>
              <w:widowControl w:val="false"/>
              <w:spacing w:before="150" w:after="150"/>
              <w:ind w:left="0" w:right="0" w:hanging="0"/>
              <w:jc w:val="left"/>
              <w:rPr/>
            </w:pPr>
            <w:r>
              <w:rPr/>
              <w:t>- кількість днів у місяці фактичного користування.</w:t>
            </w:r>
          </w:p>
        </w:tc>
      </w:tr>
    </w:tbl>
    <w:p>
      <w:pPr>
        <w:pStyle w:val="Style16"/>
        <w:widowControl/>
        <w:spacing w:before="0" w:after="36"/>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36"/>
        <w:ind w:left="0" w:right="0" w:firstLine="450"/>
        <w:jc w:val="both"/>
        <w:rPr/>
      </w:pPr>
      <w:r>
        <w:rPr>
          <w:b w:val="false"/>
          <w:i w:val="false"/>
          <w:caps w:val="false"/>
          <w:smallCaps w:val="false"/>
          <w:color w:val="333333"/>
          <w:spacing w:val="0"/>
          <w:sz w:val="24"/>
        </w:rPr>
        <w:t>7.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pPr>
        <w:pStyle w:val="Style16"/>
        <w:widowControl/>
        <w:spacing w:before="150" w:after="150"/>
        <w:ind w:left="0" w:right="0" w:hanging="0"/>
        <w:jc w:val="center"/>
        <w:rPr/>
      </w:pPr>
      <w:bookmarkStart w:id="12" w:name="n33"/>
      <w:bookmarkEnd w:id="12"/>
      <w:r>
        <w:rPr/>
        <w:drawing>
          <wp:inline distT="0" distB="0" distL="0" distR="0">
            <wp:extent cx="1695450" cy="485775"/>
            <wp:effectExtent l="0" t="0" r="0" b="0"/>
            <wp:docPr id="9" name="Изображение9" desc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a:hlinkClick r:id="rId21"/>
                    </pic:cNvPr>
                    <pic:cNvPicPr>
                      <a:picLocks noChangeAspect="1" noChangeArrowheads="1"/>
                    </pic:cNvPicPr>
                  </pic:nvPicPr>
                  <pic:blipFill>
                    <a:blip r:embed="rId20"/>
                    <a:stretch>
                      <a:fillRect/>
                    </a:stretch>
                  </pic:blipFill>
                  <pic:spPr bwMode="auto">
                    <a:xfrm>
                      <a:off x="0" y="0"/>
                      <a:ext cx="1695450" cy="485775"/>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13" w:name="n234"/>
      <w:bookmarkStart w:id="14" w:name="n234"/>
      <w:bookmarkEnd w:id="14"/>
    </w:p>
    <w:tbl>
      <w:tblPr>
        <w:tblW w:w="5000" w:type="pct"/>
        <w:jc w:val="center"/>
        <w:tblInd w:w="0" w:type="dxa"/>
        <w:tblLayout w:type="fixed"/>
        <w:tblCellMar>
          <w:top w:w="0" w:type="dxa"/>
          <w:left w:w="0" w:type="dxa"/>
          <w:bottom w:w="0" w:type="dxa"/>
          <w:right w:w="0" w:type="dxa"/>
        </w:tblCellMar>
      </w:tblPr>
      <w:tblGrid>
        <w:gridCol w:w="509"/>
        <w:gridCol w:w="1251"/>
        <w:gridCol w:w="7878"/>
      </w:tblGrid>
      <w:tr>
        <w:trPr/>
        <w:tc>
          <w:tcPr>
            <w:tcW w:w="509" w:type="dxa"/>
            <w:tcBorders/>
          </w:tcPr>
          <w:p>
            <w:pPr>
              <w:pStyle w:val="Style24"/>
              <w:widowControl w:val="false"/>
              <w:spacing w:before="150" w:after="150"/>
              <w:ind w:left="0" w:right="0" w:hanging="0"/>
              <w:jc w:val="center"/>
              <w:rPr/>
            </w:pPr>
            <w:r>
              <w:rPr/>
              <w:t>де</w:t>
            </w:r>
          </w:p>
        </w:tc>
        <w:tc>
          <w:tcPr>
            <w:tcW w:w="1251" w:type="dxa"/>
            <w:tcBorders/>
          </w:tcPr>
          <w:p>
            <w:pPr>
              <w:pStyle w:val="Style24"/>
              <w:widowControl w:val="false"/>
              <w:spacing w:before="150" w:after="150"/>
              <w:ind w:left="0" w:right="0" w:hanging="0"/>
              <w:jc w:val="center"/>
              <w:rPr/>
            </w:pPr>
            <w:r>
              <w:rPr/>
              <w:drawing>
                <wp:inline distT="0" distB="0" distL="0" distR="0">
                  <wp:extent cx="409575" cy="219075"/>
                  <wp:effectExtent l="0" t="0" r="0" b="0"/>
                  <wp:docPr id="10" name="Изображение10" desc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a:hlinkClick r:id="rId23"/>
                          </pic:cNvPr>
                          <pic:cNvPicPr>
                            <a:picLocks noChangeAspect="1" noChangeArrowheads="1"/>
                          </pic:cNvPicPr>
                        </pic:nvPicPr>
                        <pic:blipFill>
                          <a:blip r:embed="rId22"/>
                          <a:stretch>
                            <a:fillRect/>
                          </a:stretch>
                        </pic:blipFill>
                        <pic:spPr bwMode="auto">
                          <a:xfrm>
                            <a:off x="0" y="0"/>
                            <a:ext cx="409575" cy="219075"/>
                          </a:xfrm>
                          <a:prstGeom prst="rect">
                            <a:avLst/>
                          </a:prstGeom>
                        </pic:spPr>
                      </pic:pic>
                    </a:graphicData>
                  </a:graphic>
                </wp:inline>
              </w:drawing>
            </w:r>
          </w:p>
        </w:tc>
        <w:tc>
          <w:tcPr>
            <w:tcW w:w="7878" w:type="dxa"/>
            <w:tcBorders/>
          </w:tcPr>
          <w:p>
            <w:pPr>
              <w:pStyle w:val="Style24"/>
              <w:widowControl w:val="false"/>
              <w:spacing w:before="150" w:after="150"/>
              <w:ind w:left="0" w:right="0" w:hanging="0"/>
              <w:jc w:val="left"/>
              <w:rPr/>
            </w:pPr>
            <w:r>
              <w:rPr/>
              <w:t>- розмір погодинної орендної плати;</w:t>
            </w:r>
          </w:p>
        </w:tc>
      </w:tr>
      <w:tr>
        <w:trPr/>
        <w:tc>
          <w:tcPr>
            <w:tcW w:w="509" w:type="dxa"/>
            <w:tcBorders/>
          </w:tcPr>
          <w:p>
            <w:pPr>
              <w:pStyle w:val="Style24"/>
              <w:widowControl w:val="false"/>
              <w:rPr/>
            </w:pPr>
            <w:r>
              <w:rPr/>
            </w:r>
          </w:p>
        </w:tc>
        <w:tc>
          <w:tcPr>
            <w:tcW w:w="1251" w:type="dxa"/>
            <w:tcBorders/>
          </w:tcPr>
          <w:p>
            <w:pPr>
              <w:pStyle w:val="Style24"/>
              <w:widowControl w:val="false"/>
              <w:spacing w:before="150" w:after="150"/>
              <w:ind w:left="0" w:right="0" w:hanging="0"/>
              <w:jc w:val="center"/>
              <w:rPr/>
            </w:pPr>
            <w:r>
              <w:rPr/>
              <w:t>Х</w:t>
            </w:r>
          </w:p>
        </w:tc>
        <w:tc>
          <w:tcPr>
            <w:tcW w:w="7878" w:type="dxa"/>
            <w:tcBorders/>
          </w:tcPr>
          <w:p>
            <w:pPr>
              <w:pStyle w:val="Style24"/>
              <w:widowControl w:val="false"/>
              <w:spacing w:before="150" w:after="150"/>
              <w:ind w:left="0" w:right="0" w:hanging="0"/>
              <w:jc w:val="left"/>
              <w:rPr/>
            </w:pPr>
            <w:r>
              <w:rPr/>
              <w:t>- кількість днів у місяці фактичного користування.</w:t>
            </w:r>
          </w:p>
        </w:tc>
      </w:tr>
    </w:tbl>
    <w:p>
      <w:pPr>
        <w:pStyle w:val="Style16"/>
        <w:widowControl/>
        <w:spacing w:before="57" w:after="57"/>
        <w:ind w:left="0" w:right="0" w:firstLine="450"/>
        <w:jc w:val="both"/>
        <w:rPr/>
      </w:pPr>
      <w:bookmarkStart w:id="15" w:name="n36"/>
      <w:bookmarkEnd w:id="15"/>
      <w:r>
        <w:rPr>
          <w:b w:val="false"/>
          <w:i w:val="false"/>
          <w:caps w:val="false"/>
          <w:smallCaps w:val="false"/>
          <w:color w:val="333333"/>
          <w:spacing w:val="0"/>
          <w:sz w:val="24"/>
        </w:rPr>
        <w:t>У разі коли погодинна орендна плата припадає на вихідний або святковий день, у такі дні орендна плата нараховується за повну добу.</w:t>
      </w:r>
    </w:p>
    <w:p>
      <w:pPr>
        <w:pStyle w:val="Style16"/>
        <w:widowControl/>
        <w:spacing w:before="57" w:after="57"/>
        <w:ind w:left="0" w:right="0" w:firstLine="450"/>
        <w:jc w:val="both"/>
        <w:rPr/>
      </w:pPr>
      <w:r>
        <w:rPr>
          <w:b w:val="false"/>
          <w:i w:val="false"/>
          <w:caps w:val="false"/>
          <w:smallCaps w:val="false"/>
          <w:color w:val="333333"/>
          <w:spacing w:val="0"/>
          <w:sz w:val="24"/>
        </w:rPr>
        <w:t>8. Розмір річної орендної плати за єдині майнові комплекси, їх відокремлені структурні підрозділи визначається за формулою:</w:t>
      </w:r>
    </w:p>
    <w:p>
      <w:pPr>
        <w:pStyle w:val="Style16"/>
        <w:widowControl/>
        <w:spacing w:before="150" w:after="150"/>
        <w:ind w:left="0" w:right="0" w:hanging="0"/>
        <w:jc w:val="center"/>
        <w:rPr/>
      </w:pPr>
      <w:bookmarkStart w:id="16" w:name="n38"/>
      <w:bookmarkEnd w:id="16"/>
      <w:r>
        <w:rPr/>
        <w:drawing>
          <wp:inline distT="0" distB="0" distL="0" distR="0">
            <wp:extent cx="1924050" cy="447675"/>
            <wp:effectExtent l="0" t="0" r="0" b="0"/>
            <wp:docPr id="11" name="Изображение11" desc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a:hlinkClick r:id="rId25"/>
                    </pic:cNvPr>
                    <pic:cNvPicPr>
                      <a:picLocks noChangeAspect="1" noChangeArrowheads="1"/>
                    </pic:cNvPicPr>
                  </pic:nvPicPr>
                  <pic:blipFill>
                    <a:blip r:embed="rId24"/>
                    <a:stretch>
                      <a:fillRect/>
                    </a:stretch>
                  </pic:blipFill>
                  <pic:spPr bwMode="auto">
                    <a:xfrm>
                      <a:off x="0" y="0"/>
                      <a:ext cx="1924050" cy="447675"/>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17" w:name="n236"/>
      <w:bookmarkStart w:id="18" w:name="n236"/>
      <w:bookmarkEnd w:id="18"/>
    </w:p>
    <w:tbl>
      <w:tblPr>
        <w:tblW w:w="5000" w:type="pct"/>
        <w:jc w:val="center"/>
        <w:tblInd w:w="0" w:type="dxa"/>
        <w:tblLayout w:type="fixed"/>
        <w:tblCellMar>
          <w:top w:w="0" w:type="dxa"/>
          <w:left w:w="0" w:type="dxa"/>
          <w:bottom w:w="0" w:type="dxa"/>
          <w:right w:w="0" w:type="dxa"/>
        </w:tblCellMar>
      </w:tblPr>
      <w:tblGrid>
        <w:gridCol w:w="520"/>
        <w:gridCol w:w="1146"/>
        <w:gridCol w:w="7972"/>
      </w:tblGrid>
      <w:tr>
        <w:trPr/>
        <w:tc>
          <w:tcPr>
            <w:tcW w:w="520" w:type="dxa"/>
            <w:tcBorders/>
          </w:tcPr>
          <w:p>
            <w:pPr>
              <w:pStyle w:val="Style24"/>
              <w:widowControl w:val="false"/>
              <w:spacing w:before="150" w:after="150"/>
              <w:ind w:left="0" w:right="0" w:hanging="0"/>
              <w:jc w:val="center"/>
              <w:rPr/>
            </w:pPr>
            <w:r>
              <w:rPr/>
              <w:t>де</w:t>
            </w:r>
          </w:p>
        </w:tc>
        <w:tc>
          <w:tcPr>
            <w:tcW w:w="1146" w:type="dxa"/>
            <w:tcBorders/>
          </w:tcPr>
          <w:p>
            <w:pPr>
              <w:pStyle w:val="Style24"/>
              <w:widowControl w:val="false"/>
              <w:spacing w:before="150" w:after="150"/>
              <w:ind w:left="0" w:right="0" w:hanging="0"/>
              <w:jc w:val="center"/>
              <w:rPr/>
            </w:pPr>
            <w:r>
              <w:rPr/>
              <w:drawing>
                <wp:inline distT="0" distB="0" distL="0" distR="0">
                  <wp:extent cx="304800" cy="219075"/>
                  <wp:effectExtent l="0" t="0" r="0" b="0"/>
                  <wp:docPr id="12" name="Изображение12" desc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a:hlinkClick r:id="rId27"/>
                          </pic:cNvPr>
                          <pic:cNvPicPr>
                            <a:picLocks noChangeAspect="1" noChangeArrowheads="1"/>
                          </pic:cNvPicPr>
                        </pic:nvPicPr>
                        <pic:blipFill>
                          <a:blip r:embed="rId26"/>
                          <a:stretch>
                            <a:fillRect/>
                          </a:stretch>
                        </pic:blipFill>
                        <pic:spPr bwMode="auto">
                          <a:xfrm>
                            <a:off x="0" y="0"/>
                            <a:ext cx="304800" cy="219075"/>
                          </a:xfrm>
                          <a:prstGeom prst="rect">
                            <a:avLst/>
                          </a:prstGeom>
                        </pic:spPr>
                      </pic:pic>
                    </a:graphicData>
                  </a:graphic>
                </wp:inline>
              </w:drawing>
            </w:r>
          </w:p>
        </w:tc>
        <w:tc>
          <w:tcPr>
            <w:tcW w:w="7972" w:type="dxa"/>
            <w:tcBorders/>
          </w:tcPr>
          <w:p>
            <w:pPr>
              <w:pStyle w:val="Style24"/>
              <w:widowControl w:val="false"/>
              <w:spacing w:before="150" w:after="150"/>
              <w:ind w:left="0" w:right="0" w:hanging="0"/>
              <w:jc w:val="left"/>
              <w:rPr/>
            </w:pPr>
            <w:r>
              <w:rPr/>
              <w:t>- розмір річної орендної плати за єдині майнові комплекси, їх відокремлені структурні підрозділи, гривень;</w:t>
            </w:r>
          </w:p>
        </w:tc>
      </w:tr>
      <w:tr>
        <w:trPr/>
        <w:tc>
          <w:tcPr>
            <w:tcW w:w="520" w:type="dxa"/>
            <w:tcBorders/>
          </w:tcPr>
          <w:p>
            <w:pPr>
              <w:pStyle w:val="Style24"/>
              <w:widowControl w:val="false"/>
              <w:rPr/>
            </w:pPr>
            <w:r>
              <w:rPr/>
            </w:r>
          </w:p>
        </w:tc>
        <w:tc>
          <w:tcPr>
            <w:tcW w:w="1146" w:type="dxa"/>
            <w:tcBorders/>
          </w:tcPr>
          <w:p>
            <w:pPr>
              <w:pStyle w:val="Style24"/>
              <w:widowControl w:val="false"/>
              <w:spacing w:before="150" w:after="150"/>
              <w:ind w:left="0" w:right="0" w:hanging="0"/>
              <w:jc w:val="center"/>
              <w:rPr/>
            </w:pPr>
            <w:r>
              <w:rPr/>
              <w:drawing>
                <wp:inline distT="0" distB="0" distL="0" distR="0">
                  <wp:extent cx="228600" cy="219075"/>
                  <wp:effectExtent l="0" t="0" r="0" b="0"/>
                  <wp:docPr id="13" name="Изображение13" desc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a:hlinkClick r:id="rId29"/>
                          </pic:cNvPr>
                          <pic:cNvPicPr>
                            <a:picLocks noChangeAspect="1" noChangeArrowheads="1"/>
                          </pic:cNvPicPr>
                        </pic:nvPicPr>
                        <pic:blipFill>
                          <a:blip r:embed="rId28"/>
                          <a:stretch>
                            <a:fillRect/>
                          </a:stretch>
                        </pic:blipFill>
                        <pic:spPr bwMode="auto">
                          <a:xfrm>
                            <a:off x="0" y="0"/>
                            <a:ext cx="228600" cy="219075"/>
                          </a:xfrm>
                          <a:prstGeom prst="rect">
                            <a:avLst/>
                          </a:prstGeom>
                        </pic:spPr>
                      </pic:pic>
                    </a:graphicData>
                  </a:graphic>
                </wp:inline>
              </w:drawing>
            </w:r>
          </w:p>
        </w:tc>
        <w:tc>
          <w:tcPr>
            <w:tcW w:w="7972" w:type="dxa"/>
            <w:tcBorders/>
          </w:tcPr>
          <w:p>
            <w:pPr>
              <w:pStyle w:val="Style24"/>
              <w:widowControl w:val="false"/>
              <w:spacing w:before="150" w:after="150"/>
              <w:ind w:left="0" w:right="0" w:hanging="0"/>
              <w:jc w:val="left"/>
              <w:rPr/>
            </w:pPr>
            <w:r>
              <w:rPr/>
              <w:t>- вартість основних засобів за незалежною оцінкою на дату оцінки об’єкта оренди (без урахування податку на додану вартість), гривень;</w:t>
            </w:r>
          </w:p>
        </w:tc>
      </w:tr>
      <w:tr>
        <w:trPr/>
        <w:tc>
          <w:tcPr>
            <w:tcW w:w="520" w:type="dxa"/>
            <w:tcBorders/>
          </w:tcPr>
          <w:p>
            <w:pPr>
              <w:pStyle w:val="Style24"/>
              <w:widowControl w:val="false"/>
              <w:rPr/>
            </w:pPr>
            <w:r>
              <w:rPr/>
            </w:r>
          </w:p>
        </w:tc>
        <w:tc>
          <w:tcPr>
            <w:tcW w:w="1146" w:type="dxa"/>
            <w:tcBorders/>
          </w:tcPr>
          <w:p>
            <w:pPr>
              <w:pStyle w:val="Style24"/>
              <w:widowControl w:val="false"/>
              <w:spacing w:before="150" w:after="150"/>
              <w:ind w:left="0" w:right="0" w:hanging="0"/>
              <w:jc w:val="center"/>
              <w:rPr/>
            </w:pPr>
            <w:r>
              <w:rPr/>
              <w:drawing>
                <wp:inline distT="0" distB="0" distL="0" distR="0">
                  <wp:extent cx="238125" cy="190500"/>
                  <wp:effectExtent l="0" t="0" r="0" b="0"/>
                  <wp:docPr id="14" name="Изображение14" desc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a:hlinkClick r:id="rId31"/>
                          </pic:cNvPr>
                          <pic:cNvPicPr>
                            <a:picLocks noChangeAspect="1" noChangeArrowheads="1"/>
                          </pic:cNvPicPr>
                        </pic:nvPicPr>
                        <pic:blipFill>
                          <a:blip r:embed="rId30"/>
                          <a:stretch>
                            <a:fillRect/>
                          </a:stretch>
                        </pic:blipFill>
                        <pic:spPr bwMode="auto">
                          <a:xfrm>
                            <a:off x="0" y="0"/>
                            <a:ext cx="238125" cy="190500"/>
                          </a:xfrm>
                          <a:prstGeom prst="rect">
                            <a:avLst/>
                          </a:prstGeom>
                        </pic:spPr>
                      </pic:pic>
                    </a:graphicData>
                  </a:graphic>
                </wp:inline>
              </w:drawing>
            </w:r>
          </w:p>
        </w:tc>
        <w:tc>
          <w:tcPr>
            <w:tcW w:w="7972" w:type="dxa"/>
            <w:tcBorders/>
          </w:tcPr>
          <w:p>
            <w:pPr>
              <w:pStyle w:val="Style24"/>
              <w:widowControl w:val="false"/>
              <w:spacing w:before="150" w:after="150"/>
              <w:ind w:left="0" w:right="0" w:hanging="0"/>
              <w:jc w:val="left"/>
              <w:rPr/>
            </w:pPr>
            <w:r>
              <w:rPr/>
              <w:t>- вартість нематеріальних активів за незалежною оцінкою на дату оцінки об’єкта оренди (без урахування податку на додану вартість), гривень;</w:t>
            </w:r>
          </w:p>
        </w:tc>
      </w:tr>
      <w:tr>
        <w:trPr/>
        <w:tc>
          <w:tcPr>
            <w:tcW w:w="520" w:type="dxa"/>
            <w:tcBorders/>
          </w:tcPr>
          <w:p>
            <w:pPr>
              <w:pStyle w:val="Style24"/>
              <w:widowControl w:val="false"/>
              <w:rPr/>
            </w:pPr>
            <w:r>
              <w:rPr/>
            </w:r>
          </w:p>
        </w:tc>
        <w:tc>
          <w:tcPr>
            <w:tcW w:w="1146" w:type="dxa"/>
            <w:tcBorders/>
          </w:tcPr>
          <w:p>
            <w:pPr>
              <w:pStyle w:val="Style24"/>
              <w:widowControl w:val="false"/>
              <w:spacing w:before="150" w:after="150"/>
              <w:ind w:left="0" w:right="0" w:hanging="0"/>
              <w:jc w:val="center"/>
              <w:rPr/>
            </w:pPr>
            <w:r>
              <w:rPr/>
              <w:drawing>
                <wp:inline distT="0" distB="0" distL="0" distR="0">
                  <wp:extent cx="285750" cy="228600"/>
                  <wp:effectExtent l="0" t="0" r="0" b="0"/>
                  <wp:docPr id="15" name="Изображение15" desc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a:hlinkClick r:id="rId33"/>
                          </pic:cNvPr>
                          <pic:cNvPicPr>
                            <a:picLocks noChangeAspect="1" noChangeArrowheads="1"/>
                          </pic:cNvPicPr>
                        </pic:nvPicPr>
                        <pic:blipFill>
                          <a:blip r:embed="rId32"/>
                          <a:stretch>
                            <a:fillRect/>
                          </a:stretch>
                        </pic:blipFill>
                        <pic:spPr bwMode="auto">
                          <a:xfrm>
                            <a:off x="0" y="0"/>
                            <a:ext cx="285750" cy="228600"/>
                          </a:xfrm>
                          <a:prstGeom prst="rect">
                            <a:avLst/>
                          </a:prstGeom>
                        </pic:spPr>
                      </pic:pic>
                    </a:graphicData>
                  </a:graphic>
                </wp:inline>
              </w:drawing>
            </w:r>
          </w:p>
        </w:tc>
        <w:tc>
          <w:tcPr>
            <w:tcW w:w="7972" w:type="dxa"/>
            <w:tcBorders/>
          </w:tcPr>
          <w:p>
            <w:pPr>
              <w:pStyle w:val="Style24"/>
              <w:widowControl w:val="false"/>
              <w:spacing w:before="150" w:after="150"/>
              <w:ind w:left="0" w:right="0" w:hanging="0"/>
              <w:jc w:val="left"/>
              <w:rPr/>
            </w:pPr>
            <w:r>
              <w:rPr/>
              <w:t>- орендна ставка за використання об’єкта оренди, визначена згідно з </w:t>
            </w:r>
            <w:r>
              <w:rPr>
                <w:b w:val="false"/>
                <w:i w:val="false"/>
                <w:caps w:val="false"/>
                <w:smallCaps w:val="false"/>
                <w:color w:val="006600"/>
                <w:sz w:val="24"/>
                <w:u w:val="single"/>
                <w:shd w:fill="auto" w:val="clear"/>
              </w:rPr>
              <w:t>додатком 2</w:t>
            </w:r>
            <w:r>
              <w:rPr/>
              <w:t>.</w:t>
            </w:r>
          </w:p>
        </w:tc>
      </w:tr>
    </w:tbl>
    <w:p>
      <w:pPr>
        <w:pStyle w:val="Style16"/>
        <w:widowControl/>
        <w:spacing w:before="0" w:after="0"/>
        <w:ind w:left="0" w:right="0" w:hanging="0"/>
        <w:jc w:val="left"/>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uppressAutoHyphens w:val="true"/>
        <w:overflowPunct w:val="true"/>
        <w:bidi w:val="0"/>
        <w:spacing w:before="0" w:after="140"/>
        <w:ind w:left="0" w:right="0" w:firstLine="454"/>
        <w:jc w:val="left"/>
        <w:rPr>
          <w:b w:val="false"/>
          <w:b w:val="false"/>
          <w:i w:val="false"/>
          <w:i w:val="false"/>
          <w:caps w:val="false"/>
          <w:smallCaps w:val="false"/>
          <w:color w:val="333333"/>
          <w:spacing w:val="0"/>
          <w:sz w:val="24"/>
        </w:rPr>
      </w:pPr>
      <w:r>
        <w:rPr>
          <w:b w:val="false"/>
          <w:i w:val="false"/>
          <w:caps w:val="false"/>
          <w:smallCaps w:val="false"/>
          <w:color w:val="333333"/>
          <w:spacing w:val="0"/>
          <w:sz w:val="24"/>
        </w:rPr>
        <w:t>9. Розмір орендної плати за базовий місяць оренди за єдині майнові комплекси, їх відокремлені структурні підрозділи визначається за формулою:</w:t>
      </w:r>
    </w:p>
    <w:p>
      <w:pPr>
        <w:pStyle w:val="Style16"/>
        <w:widowControl/>
        <w:spacing w:before="150" w:after="150"/>
        <w:ind w:left="0" w:right="0" w:hanging="0"/>
        <w:jc w:val="center"/>
        <w:rPr/>
      </w:pPr>
      <w:bookmarkStart w:id="19" w:name="n44"/>
      <w:bookmarkEnd w:id="19"/>
      <w:r>
        <w:rPr/>
        <w:drawing>
          <wp:inline distT="0" distB="0" distL="0" distR="0">
            <wp:extent cx="1581150" cy="457200"/>
            <wp:effectExtent l="0" t="0" r="0" b="0"/>
            <wp:docPr id="16" name="Изображение16" desc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a:hlinkClick r:id="rId35"/>
                    </pic:cNvPr>
                    <pic:cNvPicPr>
                      <a:picLocks noChangeAspect="1" noChangeArrowheads="1"/>
                    </pic:cNvPicPr>
                  </pic:nvPicPr>
                  <pic:blipFill>
                    <a:blip r:embed="rId34"/>
                    <a:stretch>
                      <a:fillRect/>
                    </a:stretch>
                  </pic:blipFill>
                  <pic:spPr bwMode="auto">
                    <a:xfrm>
                      <a:off x="0" y="0"/>
                      <a:ext cx="1581150" cy="457200"/>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20" w:name="n238"/>
      <w:bookmarkStart w:id="21" w:name="n238"/>
      <w:bookmarkEnd w:id="21"/>
    </w:p>
    <w:tbl>
      <w:tblPr>
        <w:tblW w:w="5000" w:type="pct"/>
        <w:jc w:val="center"/>
        <w:tblInd w:w="0" w:type="dxa"/>
        <w:tblLayout w:type="fixed"/>
        <w:tblCellMar>
          <w:top w:w="0" w:type="dxa"/>
          <w:left w:w="0" w:type="dxa"/>
          <w:bottom w:w="0" w:type="dxa"/>
          <w:right w:w="0" w:type="dxa"/>
        </w:tblCellMar>
      </w:tblPr>
      <w:tblGrid>
        <w:gridCol w:w="524"/>
        <w:gridCol w:w="1253"/>
        <w:gridCol w:w="7861"/>
      </w:tblGrid>
      <w:tr>
        <w:trPr/>
        <w:tc>
          <w:tcPr>
            <w:tcW w:w="524" w:type="dxa"/>
            <w:tcBorders/>
          </w:tcPr>
          <w:p>
            <w:pPr>
              <w:pStyle w:val="Style24"/>
              <w:widowControl w:val="false"/>
              <w:spacing w:before="150" w:after="150"/>
              <w:ind w:left="0" w:right="0" w:hanging="0"/>
              <w:jc w:val="center"/>
              <w:rPr/>
            </w:pPr>
            <w:r>
              <w:rPr/>
              <w:t>де</w:t>
            </w:r>
          </w:p>
        </w:tc>
        <w:tc>
          <w:tcPr>
            <w:tcW w:w="1253" w:type="dxa"/>
            <w:tcBorders/>
          </w:tcPr>
          <w:p>
            <w:pPr>
              <w:pStyle w:val="Style24"/>
              <w:widowControl w:val="false"/>
              <w:spacing w:before="150" w:after="150"/>
              <w:ind w:left="0" w:right="0" w:hanging="0"/>
              <w:jc w:val="center"/>
              <w:rPr/>
            </w:pPr>
            <w:r>
              <w:rPr/>
              <w:drawing>
                <wp:inline distT="0" distB="0" distL="0" distR="0">
                  <wp:extent cx="400050" cy="219075"/>
                  <wp:effectExtent l="0" t="0" r="0" b="0"/>
                  <wp:docPr id="17" name="Изображение17" desc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a:hlinkClick r:id="rId37"/>
                          </pic:cNvPr>
                          <pic:cNvPicPr>
                            <a:picLocks noChangeAspect="1" noChangeArrowheads="1"/>
                          </pic:cNvPicPr>
                        </pic:nvPicPr>
                        <pic:blipFill>
                          <a:blip r:embed="rId36"/>
                          <a:stretch>
                            <a:fillRect/>
                          </a:stretch>
                        </pic:blipFill>
                        <pic:spPr bwMode="auto">
                          <a:xfrm>
                            <a:off x="0" y="0"/>
                            <a:ext cx="400050" cy="219075"/>
                          </a:xfrm>
                          <a:prstGeom prst="rect">
                            <a:avLst/>
                          </a:prstGeom>
                        </pic:spPr>
                      </pic:pic>
                    </a:graphicData>
                  </a:graphic>
                </wp:inline>
              </w:drawing>
            </w:r>
          </w:p>
        </w:tc>
        <w:tc>
          <w:tcPr>
            <w:tcW w:w="7861" w:type="dxa"/>
            <w:tcBorders/>
          </w:tcPr>
          <w:p>
            <w:pPr>
              <w:pStyle w:val="Style24"/>
              <w:widowControl w:val="false"/>
              <w:spacing w:before="150" w:after="150"/>
              <w:ind w:left="0" w:right="0" w:hanging="0"/>
              <w:jc w:val="left"/>
              <w:rPr/>
            </w:pPr>
            <w:r>
              <w:rPr/>
              <w:t>- розмір місячної орендної плати, визначений за цією Методикою, гривень.</w:t>
            </w:r>
          </w:p>
        </w:tc>
      </w:tr>
    </w:tbl>
    <w:p>
      <w:pPr>
        <w:pStyle w:val="Style16"/>
        <w:widowControl/>
        <w:spacing w:before="0" w:after="93"/>
        <w:ind w:left="0" w:right="0" w:firstLine="450"/>
        <w:jc w:val="both"/>
        <w:rPr/>
      </w:pPr>
      <w:bookmarkStart w:id="22" w:name="n46"/>
      <w:bookmarkEnd w:id="22"/>
      <w:r>
        <w:rPr>
          <w:b w:val="false"/>
          <w:i w:val="false"/>
          <w:caps w:val="false"/>
          <w:smallCaps w:val="false"/>
          <w:color w:val="333333"/>
          <w:spacing w:val="0"/>
          <w:sz w:val="24"/>
          <w:shd w:fill="auto" w:val="clear"/>
        </w:rPr>
        <w:t>Форма розрахунку орендної плати за базовий місяць наведена у </w:t>
      </w:r>
      <w:r>
        <w:rPr>
          <w:b w:val="false"/>
          <w:i w:val="false"/>
          <w:caps w:val="false"/>
          <w:smallCaps w:val="false"/>
          <w:color w:val="006600"/>
          <w:spacing w:val="0"/>
          <w:sz w:val="24"/>
          <w:u w:val="single"/>
          <w:shd w:fill="auto" w:val="clear"/>
        </w:rPr>
        <w:t>додатку 3</w:t>
      </w:r>
      <w:r>
        <w:rPr>
          <w:b w:val="false"/>
          <w:i w:val="false"/>
          <w:caps w:val="false"/>
          <w:smallCaps w:val="false"/>
          <w:color w:val="333333"/>
          <w:spacing w:val="0"/>
          <w:sz w:val="24"/>
          <w:shd w:fill="auto" w:val="clear"/>
        </w:rPr>
        <w:t>.</w:t>
      </w:r>
    </w:p>
    <w:p>
      <w:pPr>
        <w:pStyle w:val="Style16"/>
        <w:widowControl/>
        <w:spacing w:before="0" w:after="0"/>
        <w:ind w:left="0" w:right="0" w:firstLine="450"/>
        <w:jc w:val="both"/>
        <w:rPr>
          <w:shd w:fill="auto" w:val="clear"/>
        </w:rPr>
      </w:pPr>
      <w:bookmarkStart w:id="23" w:name="n47"/>
      <w:bookmarkEnd w:id="23"/>
      <w:r>
        <w:rPr>
          <w:b w:val="false"/>
          <w:i w:val="false"/>
          <w:caps w:val="false"/>
          <w:smallCaps w:val="false"/>
          <w:color w:val="333333"/>
          <w:spacing w:val="0"/>
          <w:sz w:val="24"/>
          <w:shd w:fill="auto" w:val="clear"/>
        </w:rPr>
        <w:t>Якщо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pPr>
        <w:pStyle w:val="Style16"/>
        <w:widowControl/>
        <w:spacing w:before="0" w:after="0"/>
        <w:ind w:left="0" w:right="0" w:firstLine="450"/>
        <w:jc w:val="both"/>
        <w:rPr>
          <w:shd w:fill="auto" w:val="clear"/>
        </w:rPr>
      </w:pPr>
      <w:bookmarkStart w:id="24" w:name="n48"/>
      <w:bookmarkEnd w:id="24"/>
      <w:r>
        <w:rPr>
          <w:b w:val="false"/>
          <w:i w:val="false"/>
          <w:caps w:val="false"/>
          <w:smallCaps w:val="false"/>
          <w:color w:val="333333"/>
          <w:spacing w:val="0"/>
          <w:sz w:val="24"/>
          <w:shd w:fill="auto" w:val="clear"/>
        </w:rPr>
        <w:t>10. Результати незалежної оцінки майна чинні протягом 12 місяців від дати оцінки, якщо інший строк не передбачено у звіті про оцінку майна.</w:t>
      </w:r>
    </w:p>
    <w:p>
      <w:pPr>
        <w:pStyle w:val="Style16"/>
        <w:widowControl/>
        <w:spacing w:before="0" w:after="36"/>
        <w:ind w:left="0" w:right="0" w:firstLine="450"/>
        <w:jc w:val="both"/>
        <w:rPr>
          <w:shd w:fill="auto" w:val="clear"/>
        </w:rPr>
      </w:pPr>
      <w:bookmarkStart w:id="25" w:name="n49"/>
      <w:bookmarkEnd w:id="25"/>
      <w:r>
        <w:rPr>
          <w:b w:val="false"/>
          <w:i w:val="false"/>
          <w:caps w:val="false"/>
          <w:smallCaps w:val="false"/>
          <w:color w:val="333333"/>
          <w:spacing w:val="0"/>
          <w:sz w:val="24"/>
          <w:shd w:fill="auto" w:val="clear"/>
        </w:rPr>
        <w:t>11. Річна орендна плата за оренду нерухомого майна у розмірі 1 гривні встановлюється таким орендарям:</w:t>
      </w:r>
    </w:p>
    <w:p>
      <w:pPr>
        <w:pStyle w:val="Style16"/>
        <w:widowControl/>
        <w:spacing w:before="0" w:after="36"/>
        <w:ind w:left="0" w:right="0" w:firstLine="450"/>
        <w:jc w:val="both"/>
        <w:rPr>
          <w:shd w:fill="auto" w:val="clear"/>
        </w:rPr>
      </w:pPr>
      <w:bookmarkStart w:id="26" w:name="n50"/>
      <w:bookmarkEnd w:id="26"/>
      <w:r>
        <w:rPr>
          <w:b w:val="false"/>
          <w:i w:val="false"/>
          <w:caps w:val="false"/>
          <w:smallCaps w:val="false"/>
          <w:color w:val="333333"/>
          <w:spacing w:val="0"/>
          <w:sz w:val="24"/>
          <w:shd w:fill="auto" w:val="clear"/>
        </w:rPr>
        <w:t>органам державної влади, іншим бюджетним організаціям, закладам, установам, які повністю фінансуються з державного бюджету;</w:t>
      </w:r>
    </w:p>
    <w:p>
      <w:pPr>
        <w:pStyle w:val="Style16"/>
        <w:widowControl/>
        <w:spacing w:before="0" w:after="36"/>
        <w:ind w:left="0" w:right="0" w:firstLine="450"/>
        <w:jc w:val="both"/>
        <w:rPr>
          <w:shd w:fill="auto" w:val="clear"/>
        </w:rPr>
      </w:pPr>
      <w:bookmarkStart w:id="27" w:name="n51"/>
      <w:bookmarkEnd w:id="27"/>
      <w:r>
        <w:rPr>
          <w:b w:val="false"/>
          <w:i w:val="false"/>
          <w:caps w:val="false"/>
          <w:smallCaps w:val="false"/>
          <w:color w:val="333333"/>
          <w:spacing w:val="0"/>
          <w:sz w:val="24"/>
          <w:shd w:fill="auto" w:val="clear"/>
        </w:rPr>
        <w:t>органам місцевого самоврядування для розміщення центрів надання адміністративних послуг;</w:t>
      </w:r>
    </w:p>
    <w:p>
      <w:pPr>
        <w:pStyle w:val="Style16"/>
        <w:widowControl/>
        <w:spacing w:before="0" w:after="36"/>
        <w:ind w:left="0" w:right="0" w:firstLine="450"/>
        <w:jc w:val="both"/>
        <w:rPr/>
      </w:pPr>
      <w:bookmarkStart w:id="28" w:name="n52"/>
      <w:bookmarkEnd w:id="28"/>
      <w:r>
        <w:rPr>
          <w:b w:val="false"/>
          <w:i w:val="false"/>
          <w:caps w:val="false"/>
          <w:smallCaps w:val="false"/>
          <w:color w:val="333333"/>
          <w:spacing w:val="0"/>
          <w:sz w:val="24"/>
        </w:rPr>
        <w:t>казенним підприємствам, що утворилися у результаті реорганізації державного закладу охорони здоров’я;</w:t>
      </w:r>
    </w:p>
    <w:p>
      <w:pPr>
        <w:pStyle w:val="Style16"/>
        <w:widowControl/>
        <w:spacing w:before="0" w:after="36"/>
        <w:ind w:left="0" w:right="0" w:firstLine="450"/>
        <w:jc w:val="both"/>
        <w:rPr/>
      </w:pPr>
      <w:bookmarkStart w:id="29" w:name="n53"/>
      <w:bookmarkEnd w:id="29"/>
      <w:r>
        <w:rPr>
          <w:b w:val="false"/>
          <w:i w:val="false"/>
          <w:caps w:val="false"/>
          <w:smallCaps w:val="false"/>
          <w:color w:val="333333"/>
          <w:spacing w:val="0"/>
          <w:sz w:val="24"/>
        </w:rPr>
        <w:t>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pPr>
        <w:pStyle w:val="Style16"/>
        <w:widowControl/>
        <w:spacing w:before="0" w:after="36"/>
        <w:ind w:left="0" w:right="0" w:firstLine="450"/>
        <w:jc w:val="both"/>
        <w:rPr/>
      </w:pPr>
      <w:bookmarkStart w:id="30" w:name="n54"/>
      <w:bookmarkEnd w:id="30"/>
      <w:r>
        <w:rPr>
          <w:b w:val="false"/>
          <w:i w:val="false"/>
          <w:caps w:val="false"/>
          <w:smallCaps w:val="false"/>
          <w:color w:val="333333"/>
          <w:spacing w:val="0"/>
          <w:sz w:val="24"/>
        </w:rPr>
        <w:t>Пенсійному фонду України та його органам;</w:t>
      </w:r>
    </w:p>
    <w:p>
      <w:pPr>
        <w:pStyle w:val="Style16"/>
        <w:widowControl/>
        <w:spacing w:before="0" w:after="36"/>
        <w:ind w:left="0" w:right="0" w:firstLine="450"/>
        <w:jc w:val="both"/>
        <w:rPr/>
      </w:pPr>
      <w:bookmarkStart w:id="31" w:name="n55"/>
      <w:bookmarkEnd w:id="31"/>
      <w:r>
        <w:rPr>
          <w:b w:val="false"/>
          <w:i w:val="false"/>
          <w:caps w:val="false"/>
          <w:smallCaps w:val="false"/>
          <w:color w:val="333333"/>
          <w:spacing w:val="0"/>
          <w:sz w:val="24"/>
        </w:rPr>
        <w:t>національн</w:t>
      </w:r>
      <w:r>
        <w:rPr>
          <w:b w:val="false"/>
          <w:i w:val="false"/>
          <w:caps w:val="false"/>
          <w:smallCaps w:val="false"/>
          <w:color w:val="333333"/>
          <w:spacing w:val="0"/>
          <w:sz w:val="24"/>
          <w:shd w:fill="auto" w:val="clear"/>
        </w:rPr>
        <w:t>им художнім колективам, яким надається фінансова підтримка з державного бюджету;</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 xml:space="preserve">бюджетним установам, іншим підприємствам, закладам та організаціям, засновниками яких є </w:t>
      </w:r>
      <w:r>
        <w:rPr>
          <w:rFonts w:eastAsia="Andale Sans UI;Arial Unicode MS" w:cs="Tahoma"/>
          <w:b w:val="false"/>
          <w:i w:val="false"/>
          <w:caps w:val="false"/>
          <w:smallCaps w:val="false"/>
          <w:color w:val="333333"/>
          <w:spacing w:val="0"/>
          <w:kern w:val="2"/>
          <w:sz w:val="24"/>
          <w:szCs w:val="24"/>
          <w:shd w:fill="auto" w:val="clear"/>
          <w:lang w:val="zxx" w:eastAsia="zxx" w:bidi="zxx"/>
        </w:rPr>
        <w:t>Покровська</w:t>
      </w:r>
      <w:r>
        <w:rPr>
          <w:b w:val="false"/>
          <w:i w:val="false"/>
          <w:caps w:val="false"/>
          <w:smallCaps w:val="false"/>
          <w:color w:val="333333"/>
          <w:spacing w:val="0"/>
          <w:sz w:val="24"/>
          <w:shd w:fill="auto" w:val="clear"/>
        </w:rPr>
        <w:t xml:space="preserve"> міська рада Дніпропетровської області;</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 xml:space="preserve">бюджетним установам, </w:t>
      </w:r>
      <w:r>
        <w:rPr>
          <w:rFonts w:eastAsia="Andale Sans UI;Arial Unicode MS" w:cs="Tahoma"/>
          <w:b w:val="false"/>
          <w:i w:val="false"/>
          <w:caps w:val="false"/>
          <w:smallCaps w:val="false"/>
          <w:color w:val="333333"/>
          <w:spacing w:val="0"/>
          <w:kern w:val="2"/>
          <w:sz w:val="24"/>
          <w:szCs w:val="24"/>
          <w:shd w:fill="auto" w:val="clear"/>
          <w:lang w:val="zxx" w:eastAsia="zxx" w:bidi="zxx"/>
        </w:rPr>
        <w:t>комунальним</w:t>
      </w:r>
      <w:r>
        <w:rPr>
          <w:b w:val="false"/>
          <w:i w:val="false"/>
          <w:caps w:val="false"/>
          <w:smallCaps w:val="false"/>
          <w:color w:val="333333"/>
          <w:spacing w:val="0"/>
          <w:sz w:val="24"/>
          <w:shd w:fill="auto" w:val="clear"/>
        </w:rPr>
        <w:t xml:space="preserve"> підприємствам, закладам та організаціям у сфері охорони здоров’я, освіти, культури, мистецтва чи спорту, музеям, які повністю або частково фінансуються з державного або місцевого бюджетів</w:t>
      </w:r>
    </w:p>
    <w:p>
      <w:pPr>
        <w:pStyle w:val="Style16"/>
        <w:widowControl/>
        <w:spacing w:before="0" w:after="36"/>
        <w:ind w:left="0" w:right="0" w:firstLine="450"/>
        <w:jc w:val="both"/>
        <w:rPr>
          <w:shd w:fill="auto" w:val="clear"/>
        </w:rPr>
      </w:pPr>
      <w:r>
        <w:rPr>
          <w:b w:val="false"/>
          <w:i w:val="false"/>
          <w:caps w:val="false"/>
          <w:smallCaps w:val="false"/>
          <w:color w:val="000000"/>
          <w:spacing w:val="0"/>
          <w:sz w:val="24"/>
          <w:shd w:fill="auto" w:val="clear"/>
        </w:rPr>
        <w:t>місцевим органам військового управління, що забезпечують виконання законодавства з питань військового обов’язку і військової служби, мобілізаційної підготовки та мобілізації в особливий період людських і транспортних ресурсів на території відповідної адміністративно-територіальної одиниці;</w:t>
      </w:r>
    </w:p>
    <w:p>
      <w:pPr>
        <w:pStyle w:val="Style16"/>
        <w:widowControl/>
        <w:spacing w:before="0" w:after="36"/>
        <w:ind w:left="0" w:right="0" w:firstLine="450"/>
        <w:jc w:val="both"/>
        <w:rPr>
          <w:shd w:fill="auto" w:val="clear"/>
        </w:rPr>
      </w:pPr>
      <w:r>
        <w:rPr>
          <w:b w:val="false"/>
          <w:i w:val="false"/>
          <w:caps w:val="false"/>
          <w:smallCaps w:val="false"/>
          <w:color w:val="000000"/>
          <w:spacing w:val="0"/>
          <w:sz w:val="24"/>
          <w:shd w:fill="auto" w:val="clear"/>
        </w:rPr>
        <w:t>державним та комунальним спеціалізованим підприємствам, установам та закладам соціального обслуговування, що надають соціальні послуги відповідно до Закону України "Про соціальні послуги";</w:t>
      </w:r>
    </w:p>
    <w:p>
      <w:pPr>
        <w:pStyle w:val="Style16"/>
        <w:widowControl/>
        <w:spacing w:before="0" w:after="36"/>
        <w:ind w:left="0" w:right="0" w:firstLine="450"/>
        <w:jc w:val="both"/>
        <w:rPr>
          <w:shd w:fill="auto" w:val="clear"/>
        </w:rPr>
      </w:pPr>
      <w:r>
        <w:rPr>
          <w:b w:val="false"/>
          <w:i w:val="false"/>
          <w:caps w:val="false"/>
          <w:smallCaps w:val="false"/>
          <w:color w:val="000000"/>
          <w:spacing w:val="0"/>
          <w:sz w:val="24"/>
          <w:shd w:fill="auto" w:val="clear"/>
        </w:rPr>
        <w:t>громадським об’єднанням та організаціям, що є неприбутковими та включені до Реєстру неприбуткових установ та організацій;</w:t>
      </w:r>
    </w:p>
    <w:p>
      <w:pPr>
        <w:pStyle w:val="Style16"/>
        <w:widowControl/>
        <w:spacing w:before="0" w:after="36"/>
        <w:ind w:left="0" w:right="0" w:firstLine="450"/>
        <w:jc w:val="both"/>
        <w:rPr>
          <w:shd w:fill="auto" w:val="clear"/>
        </w:rPr>
      </w:pPr>
      <w:r>
        <w:rPr>
          <w:b w:val="false"/>
          <w:i w:val="false"/>
          <w:caps w:val="false"/>
          <w:smallCaps w:val="false"/>
          <w:color w:val="000000"/>
          <w:spacing w:val="0"/>
          <w:sz w:val="24"/>
          <w:shd w:fill="auto" w:val="clear"/>
        </w:rPr>
        <w:t>народним депутатам України або депутатам місцевих рад для організації громадської приймальні – за площу до 30 кв.м.;</w:t>
      </w:r>
    </w:p>
    <w:p>
      <w:pPr>
        <w:pStyle w:val="Style16"/>
        <w:widowControl/>
        <w:spacing w:before="0" w:after="36"/>
        <w:ind w:left="0" w:right="0" w:firstLine="450"/>
        <w:jc w:val="both"/>
        <w:rPr/>
      </w:pPr>
      <w:bookmarkStart w:id="32" w:name="n56"/>
      <w:bookmarkEnd w:id="32"/>
      <w:r>
        <w:rPr>
          <w:b w:val="false"/>
          <w:i w:val="false"/>
          <w:caps w:val="false"/>
          <w:smallCaps w:val="false"/>
          <w:color w:val="000000"/>
          <w:spacing w:val="0"/>
          <w:sz w:val="24"/>
          <w:shd w:fill="auto" w:val="clear"/>
        </w:rPr>
        <w:t>редакціям державних і комунальних пе</w:t>
      </w:r>
      <w:r>
        <w:rPr>
          <w:b w:val="false"/>
          <w:i w:val="false"/>
          <w:caps w:val="false"/>
          <w:smallCaps w:val="false"/>
          <w:color w:val="333333"/>
          <w:spacing w:val="0"/>
          <w:sz w:val="24"/>
          <w:shd w:fill="auto" w:val="clear"/>
        </w:rPr>
        <w:t>ріо</w:t>
      </w:r>
      <w:r>
        <w:rPr>
          <w:b w:val="false"/>
          <w:i w:val="false"/>
          <w:caps w:val="false"/>
          <w:smallCaps w:val="false"/>
          <w:color w:val="333333"/>
          <w:spacing w:val="0"/>
          <w:sz w:val="24"/>
        </w:rPr>
        <w:t>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w:t>
      </w:r>
      <w:hyperlink r:id="rId38" w:tgtFrame="_blank">
        <w:r>
          <w:rPr>
            <w:b w:val="false"/>
            <w:i w:val="false"/>
            <w:caps w:val="false"/>
            <w:smallCaps w:val="false"/>
            <w:color w:val="000099"/>
            <w:spacing w:val="0"/>
            <w:sz w:val="24"/>
            <w:u w:val="single"/>
            <w:shd w:fill="auto" w:val="clear"/>
          </w:rPr>
          <w:t>Закону України</w:t>
        </w:r>
      </w:hyperlink>
      <w:r>
        <w:rPr>
          <w:b w:val="false"/>
          <w:i w:val="false"/>
          <w:caps w:val="false"/>
          <w:smallCaps w:val="false"/>
          <w:color w:val="333333"/>
          <w:spacing w:val="0"/>
          <w:sz w:val="24"/>
        </w:rPr>
        <w:t> “Про реформування державних і комунальних друкованих засобів масової інформації”.</w:t>
      </w:r>
    </w:p>
    <w:p>
      <w:pPr>
        <w:pStyle w:val="Style16"/>
        <w:widowControl/>
        <w:spacing w:before="0" w:after="36"/>
        <w:ind w:left="0" w:right="0" w:firstLine="450"/>
        <w:jc w:val="both"/>
        <w:rPr/>
      </w:pPr>
      <w:bookmarkStart w:id="33" w:name="n57"/>
      <w:bookmarkEnd w:id="33"/>
      <w:r>
        <w:rPr>
          <w:b w:val="false"/>
          <w:i w:val="false"/>
          <w:caps w:val="false"/>
          <w:smallCaps w:val="false"/>
          <w:color w:val="333333"/>
          <w:spacing w:val="0"/>
          <w:sz w:val="24"/>
        </w:rPr>
        <w:t>Орендна плата у розмірі 1 гривні для орендарів, за</w:t>
      </w:r>
      <w:r>
        <w:rPr>
          <w:b w:val="false"/>
          <w:i w:val="false"/>
          <w:caps w:val="false"/>
          <w:smallCaps w:val="false"/>
          <w:color w:val="333333"/>
          <w:spacing w:val="0"/>
          <w:sz w:val="24"/>
          <w:shd w:fill="auto" w:val="clear"/>
        </w:rPr>
        <w:t>значен</w:t>
      </w:r>
      <w:r>
        <w:rPr>
          <w:b w:val="false"/>
          <w:i w:val="false"/>
          <w:caps w:val="false"/>
          <w:smallCaps w:val="false"/>
          <w:color w:val="000000"/>
          <w:spacing w:val="0"/>
          <w:sz w:val="24"/>
          <w:shd w:fill="auto" w:val="clear"/>
        </w:rPr>
        <w:t xml:space="preserve">их в абзаці </w:t>
      </w:r>
      <w:r>
        <w:rPr>
          <w:rFonts w:eastAsia="Andale Sans UI;Arial Unicode MS" w:cs="Tahoma"/>
          <w:b w:val="false"/>
          <w:i w:val="false"/>
          <w:caps w:val="false"/>
          <w:smallCaps w:val="false"/>
          <w:color w:val="000000"/>
          <w:spacing w:val="0"/>
          <w:kern w:val="2"/>
          <w:sz w:val="24"/>
          <w:szCs w:val="24"/>
          <w:shd w:fill="auto" w:val="clear"/>
          <w:lang w:val="zxx" w:eastAsia="zxx" w:bidi="zxx"/>
        </w:rPr>
        <w:t>чотирнадцятому</w:t>
      </w:r>
      <w:r>
        <w:rPr>
          <w:b w:val="false"/>
          <w:i w:val="false"/>
          <w:caps w:val="false"/>
          <w:smallCaps w:val="false"/>
          <w:color w:val="000000"/>
          <w:spacing w:val="0"/>
          <w:sz w:val="24"/>
          <w:shd w:fill="auto" w:val="clear"/>
        </w:rPr>
        <w:t xml:space="preserve"> цього пункту, не застосовується у разі оренди нерухомого майн</w:t>
      </w:r>
      <w:r>
        <w:rPr>
          <w:b w:val="false"/>
          <w:i w:val="false"/>
          <w:caps w:val="false"/>
          <w:smallCaps w:val="false"/>
          <w:color w:val="333333"/>
          <w:spacing w:val="0"/>
          <w:sz w:val="24"/>
          <w:shd w:fill="auto" w:val="clear"/>
        </w:rPr>
        <w:t>а для розміщення засобів масової інформації:</w:t>
      </w:r>
    </w:p>
    <w:p>
      <w:pPr>
        <w:pStyle w:val="Style16"/>
        <w:widowControl/>
        <w:spacing w:before="0" w:after="36"/>
        <w:ind w:left="0" w:right="0" w:firstLine="450"/>
        <w:jc w:val="both"/>
        <w:rPr/>
      </w:pPr>
      <w:bookmarkStart w:id="34" w:name="n58"/>
      <w:bookmarkEnd w:id="34"/>
      <w:r>
        <w:rPr>
          <w:b w:val="false"/>
          <w:i w:val="false"/>
          <w:caps w:val="false"/>
          <w:smallCaps w:val="false"/>
          <w:color w:val="333333"/>
          <w:spacing w:val="0"/>
          <w:sz w:val="24"/>
        </w:rPr>
        <w:t>рекламного та еротичного характеру;</w:t>
      </w:r>
    </w:p>
    <w:p>
      <w:pPr>
        <w:pStyle w:val="Style16"/>
        <w:widowControl/>
        <w:spacing w:before="0" w:after="36"/>
        <w:ind w:left="0" w:right="0" w:firstLine="450"/>
        <w:jc w:val="both"/>
        <w:rPr/>
      </w:pPr>
      <w:bookmarkStart w:id="35" w:name="n59"/>
      <w:bookmarkEnd w:id="35"/>
      <w:r>
        <w:rPr>
          <w:b w:val="false"/>
          <w:i w:val="false"/>
          <w:caps w:val="false"/>
          <w:smallCaps w:val="false"/>
          <w:color w:val="333333"/>
          <w:spacing w:val="0"/>
          <w:sz w:val="24"/>
        </w:rPr>
        <w:t>заснованих в Україні міжнародними організаціями або за участю юридичних чи фізичних осіб інших держав, осіб без громадянства;</w:t>
      </w:r>
    </w:p>
    <w:p>
      <w:pPr>
        <w:pStyle w:val="Style16"/>
        <w:widowControl/>
        <w:spacing w:before="0" w:after="36"/>
        <w:ind w:left="0" w:right="0" w:firstLine="450"/>
        <w:jc w:val="both"/>
        <w:rPr/>
      </w:pPr>
      <w:bookmarkStart w:id="36" w:name="n60"/>
      <w:bookmarkEnd w:id="36"/>
      <w:r>
        <w:rPr>
          <w:b w:val="false"/>
          <w:i w:val="false"/>
          <w:caps w:val="false"/>
          <w:smallCaps w:val="false"/>
          <w:color w:val="333333"/>
          <w:spacing w:val="0"/>
          <w:sz w:val="24"/>
        </w:rPr>
        <w:t>в яких понад 50 відсотків загального обсягу випуску становлять матеріали зарубіжних засобів масової інформації;</w:t>
      </w:r>
    </w:p>
    <w:p>
      <w:pPr>
        <w:pStyle w:val="Style16"/>
        <w:widowControl/>
        <w:spacing w:before="0" w:after="36"/>
        <w:ind w:left="0" w:right="0" w:firstLine="450"/>
        <w:jc w:val="both"/>
        <w:rPr/>
      </w:pPr>
      <w:bookmarkStart w:id="37" w:name="n61"/>
      <w:bookmarkEnd w:id="37"/>
      <w:r>
        <w:rPr>
          <w:b w:val="false"/>
          <w:i w:val="false"/>
          <w:caps w:val="false"/>
          <w:smallCaps w:val="false"/>
          <w:color w:val="333333"/>
          <w:spacing w:val="0"/>
          <w:sz w:val="24"/>
        </w:rPr>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pPr>
        <w:pStyle w:val="Style16"/>
        <w:widowControl/>
        <w:spacing w:before="0" w:after="36"/>
        <w:ind w:left="0" w:right="0" w:firstLine="450"/>
        <w:jc w:val="both"/>
        <w:rPr/>
      </w:pPr>
      <w:bookmarkStart w:id="38" w:name="n62"/>
      <w:bookmarkEnd w:id="38"/>
      <w:r>
        <w:rPr>
          <w:b w:val="false"/>
          <w:i w:val="false"/>
          <w:caps w:val="false"/>
          <w:smallCaps w:val="false"/>
          <w:color w:val="333333"/>
          <w:spacing w:val="0"/>
          <w:sz w:val="24"/>
        </w:rPr>
        <w:t>12. Розмір річної</w:t>
      </w:r>
      <w:r>
        <w:rPr>
          <w:b w:val="false"/>
          <w:i w:val="false"/>
          <w:caps w:val="false"/>
          <w:smallCaps w:val="false"/>
          <w:color w:val="333333"/>
          <w:spacing w:val="0"/>
          <w:sz w:val="24"/>
          <w:shd w:fill="auto" w:val="clear"/>
        </w:rPr>
        <w:t xml:space="preserve">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 визначеної відповідно до статті 8 Закону.</w:t>
      </w:r>
    </w:p>
    <w:p>
      <w:pPr>
        <w:pStyle w:val="Style16"/>
        <w:widowControl/>
        <w:spacing w:before="0" w:after="36"/>
        <w:ind w:left="0" w:right="0" w:firstLine="450"/>
        <w:jc w:val="both"/>
        <w:rPr>
          <w:shd w:fill="auto" w:val="clear"/>
        </w:rPr>
      </w:pPr>
      <w:bookmarkStart w:id="39" w:name="n63"/>
      <w:bookmarkEnd w:id="39"/>
      <w:r>
        <w:rPr>
          <w:b w:val="false"/>
          <w:i w:val="false"/>
          <w:caps w:val="false"/>
          <w:smallCaps w:val="false"/>
          <w:color w:val="333333"/>
          <w:spacing w:val="0"/>
          <w:sz w:val="24"/>
          <w:shd w:fill="auto" w:val="clear"/>
        </w:rPr>
        <w:t>Розмір річної орендної плати у разі оренди транспортних засобів встановлюється на рівні 10 відсотків вартості об’єкта оренди, визначеної відповідно до статті 8 Закону.</w:t>
      </w:r>
    </w:p>
    <w:p>
      <w:pPr>
        <w:pStyle w:val="Style16"/>
        <w:widowControl/>
        <w:spacing w:before="0" w:after="36"/>
        <w:ind w:left="0" w:right="0" w:firstLine="450"/>
        <w:jc w:val="both"/>
        <w:rPr>
          <w:shd w:fill="auto" w:val="clear"/>
        </w:rPr>
      </w:pPr>
      <w:r>
        <w:rPr>
          <w:b w:val="false"/>
          <w:i w:val="false"/>
          <w:caps w:val="false"/>
          <w:smallCaps w:val="false"/>
          <w:strike w:val="false"/>
          <w:dstrike w:val="false"/>
          <w:color w:val="333333"/>
          <w:spacing w:val="0"/>
          <w:sz w:val="24"/>
          <w:shd w:fill="auto" w:val="clear"/>
        </w:rPr>
        <w:t xml:space="preserve">У разі якщо інше окреме індивідуально визначене майно передається в оренду за результатами проведення аукціону, орендна плата, розрахована відповідно до цього пункту Методики, застосовується як стартова на першому аукціоні. </w:t>
      </w:r>
    </w:p>
    <w:p>
      <w:pPr>
        <w:pStyle w:val="Style16"/>
        <w:widowControl/>
        <w:spacing w:before="0" w:after="36"/>
        <w:ind w:left="0" w:right="0" w:firstLine="450"/>
        <w:jc w:val="both"/>
        <w:rPr/>
      </w:pPr>
      <w:bookmarkStart w:id="40" w:name="n66"/>
      <w:bookmarkEnd w:id="40"/>
      <w:r>
        <w:rPr>
          <w:b w:val="false"/>
          <w:i w:val="false"/>
          <w:caps w:val="false"/>
          <w:smallCaps w:val="false"/>
          <w:color w:val="333333"/>
          <w:spacing w:val="0"/>
          <w:sz w:val="24"/>
          <w:shd w:fill="auto" w:val="clear"/>
        </w:rPr>
        <w:t>13. Розмір місячної орендної плати у розмірі 1 гривні за 1 кв. метр занедбаної пам’ятки архітектури встановлюється кваліфікованій особі, визначеній </w:t>
      </w:r>
      <w:hyperlink r:id="rId39">
        <w:r>
          <w:rPr>
            <w:b w:val="false"/>
            <w:i w:val="false"/>
            <w:caps w:val="false"/>
            <w:smallCaps w:val="false"/>
            <w:color w:val="000099"/>
            <w:spacing w:val="0"/>
            <w:sz w:val="24"/>
            <w:u w:val="single"/>
            <w:shd w:fill="auto" w:val="clear"/>
          </w:rPr>
          <w:t>пунктом 183</w:t>
        </w:r>
      </w:hyperlink>
      <w:r>
        <w:rPr>
          <w:b w:val="false"/>
          <w:i w:val="false"/>
          <w:caps w:val="false"/>
          <w:smallCaps w:val="false"/>
          <w:color w:val="333333"/>
          <w:spacing w:val="0"/>
          <w:sz w:val="24"/>
          <w:shd w:fill="auto" w:val="clear"/>
        </w:rPr>
        <w:t>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pPr>
        <w:pStyle w:val="Style16"/>
        <w:widowControl/>
        <w:spacing w:before="0" w:after="36"/>
        <w:ind w:left="0" w:right="0" w:firstLine="450"/>
        <w:jc w:val="both"/>
        <w:rPr/>
      </w:pPr>
      <w:bookmarkStart w:id="41" w:name="n70"/>
      <w:bookmarkEnd w:id="41"/>
      <w:r>
        <w:rPr>
          <w:b w:val="false"/>
          <w:i w:val="false"/>
          <w:caps w:val="false"/>
          <w:smallCaps w:val="false"/>
          <w:color w:val="333333"/>
          <w:spacing w:val="0"/>
          <w:sz w:val="24"/>
          <w:shd w:fill="auto" w:val="clear"/>
        </w:rPr>
        <w:t>14. Якщо орендна плата визначена на підставі цієї Методики (к</w:t>
      </w:r>
      <w:r>
        <w:rPr>
          <w:b w:val="false"/>
          <w:i w:val="false"/>
          <w:caps w:val="false"/>
          <w:smallCaps w:val="false"/>
          <w:color w:val="000000"/>
          <w:spacing w:val="0"/>
          <w:sz w:val="24"/>
          <w:u w:val="none"/>
          <w:shd w:fill="auto" w:val="clear"/>
        </w:rPr>
        <w:t xml:space="preserve">рім пункту 11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w:t>
      </w:r>
      <w:r>
        <w:rPr>
          <w:b w:val="false"/>
          <w:i w:val="false"/>
          <w:caps w:val="false"/>
          <w:smallCaps w:val="false"/>
          <w:color w:val="333333"/>
          <w:spacing w:val="0"/>
          <w:sz w:val="24"/>
        </w:rPr>
        <w:t>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pPr>
        <w:pStyle w:val="Style16"/>
        <w:widowControl/>
        <w:spacing w:before="0" w:after="36"/>
        <w:ind w:left="0" w:right="0" w:firstLine="450"/>
        <w:jc w:val="both"/>
        <w:rPr/>
      </w:pPr>
      <w:bookmarkStart w:id="42" w:name="n71"/>
      <w:bookmarkEnd w:id="42"/>
      <w:r>
        <w:rPr>
          <w:b w:val="false"/>
          <w:i w:val="false"/>
          <w:caps w:val="false"/>
          <w:smallCaps w:val="false"/>
          <w:color w:val="333333"/>
          <w:spacing w:val="0"/>
          <w:sz w:val="24"/>
        </w:rPr>
        <w:t>15.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pPr>
        <w:pStyle w:val="Style16"/>
        <w:widowControl/>
        <w:spacing w:before="0" w:after="36"/>
        <w:ind w:left="0" w:right="0" w:firstLine="450"/>
        <w:jc w:val="both"/>
        <w:rPr/>
      </w:pPr>
      <w:bookmarkStart w:id="43" w:name="n72"/>
      <w:bookmarkEnd w:id="43"/>
      <w:r>
        <w:rPr>
          <w:b w:val="false"/>
          <w:i w:val="false"/>
          <w:caps w:val="false"/>
          <w:smallCaps w:val="false"/>
          <w:color w:val="333333"/>
          <w:spacing w:val="0"/>
          <w:sz w:val="24"/>
        </w:rPr>
        <w:t>Орендна плата, встановлена відповідно</w:t>
      </w:r>
      <w:r>
        <w:rPr>
          <w:b w:val="false"/>
          <w:i w:val="false"/>
          <w:caps w:val="false"/>
          <w:smallCaps w:val="false"/>
          <w:color w:val="000000"/>
          <w:spacing w:val="0"/>
          <w:sz w:val="24"/>
          <w:u w:val="none"/>
          <w:shd w:fill="auto" w:val="clear"/>
        </w:rPr>
        <w:t xml:space="preserve"> до пункту 11 цієї Методики, не підлягає коригуванню на індекс інфляції.</w:t>
      </w:r>
    </w:p>
    <w:p>
      <w:pPr>
        <w:pStyle w:val="Style16"/>
        <w:widowControl/>
        <w:spacing w:before="0" w:after="36"/>
        <w:ind w:left="0" w:right="0" w:firstLine="450"/>
        <w:jc w:val="both"/>
        <w:rPr/>
      </w:pPr>
      <w:bookmarkStart w:id="44" w:name="n73"/>
      <w:bookmarkEnd w:id="44"/>
      <w:r>
        <w:rPr>
          <w:b w:val="false"/>
          <w:i w:val="false"/>
          <w:caps w:val="false"/>
          <w:smallCaps w:val="false"/>
          <w:color w:val="000000"/>
          <w:spacing w:val="0"/>
          <w:sz w:val="24"/>
          <w:u w:val="none"/>
          <w:shd w:fill="auto" w:val="clear"/>
        </w:rPr>
        <w:t>16. У разі оренди дипломатичними представниц</w:t>
      </w:r>
      <w:r>
        <w:rPr>
          <w:b w:val="false"/>
          <w:i w:val="false"/>
          <w:caps w:val="false"/>
          <w:smallCaps w:val="false"/>
          <w:color w:val="333333"/>
          <w:spacing w:val="0"/>
          <w:sz w:val="24"/>
        </w:rPr>
        <w:t>твами, консульськими установами іноземних держав, представництвами міжнародних організацій в Україні іншого окремого індивідуально визначеного майна розмір річної орендної плати встановлюється на рівні 12 відсотків вартості орендованого майна за результатами незалежної оцінки.</w:t>
      </w:r>
    </w:p>
    <w:p>
      <w:pPr>
        <w:pStyle w:val="Style16"/>
        <w:widowControl/>
        <w:spacing w:before="0" w:after="36"/>
        <w:ind w:left="0" w:right="0" w:firstLine="450"/>
        <w:jc w:val="both"/>
        <w:rPr/>
      </w:pPr>
      <w:bookmarkStart w:id="45" w:name="n74"/>
      <w:bookmarkEnd w:id="45"/>
      <w:r>
        <w:rPr>
          <w:b w:val="false"/>
          <w:i w:val="false"/>
          <w:caps w:val="false"/>
          <w:smallCaps w:val="false"/>
          <w:color w:val="333333"/>
          <w:spacing w:val="0"/>
          <w:sz w:val="24"/>
        </w:rPr>
        <w:t>Якщо міжнародними договорами України, згода на обов’язковість яких надана Верховною Радою Укр</w:t>
      </w:r>
      <w:r>
        <w:rPr>
          <w:b w:val="false"/>
          <w:i w:val="false"/>
          <w:caps w:val="false"/>
          <w:smallCaps w:val="false"/>
          <w:color w:val="333333"/>
          <w:spacing w:val="0"/>
          <w:sz w:val="24"/>
          <w:shd w:fill="auto" w:val="clear"/>
        </w:rPr>
        <w:t>аїни, встановлено інші правила, ніж ті, що містяться у цій Методиці, застосовуються правила міжнародного договору України.</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17. У випадку змін, які відбулися в законодавстві під час дії цієї Методики, її норми застосовуються в частині, яка не суперечить чинному законодавству України.</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18. Визначення загальної площі приміщень, що передаються в оренду.</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18.1. Якщо орендоване приміщення є частиною будівлі, то загальною площею приміщень, що передаються в оренду, вважається корисна площа кімнат, що передаються в оренду для використання за будь-яким призначенням, збільшена на коефіцієнт перерахунку корисної площі в загальну.</w:t>
      </w:r>
    </w:p>
    <w:p>
      <w:pPr>
        <w:pStyle w:val="Style16"/>
        <w:widowControl/>
        <w:spacing w:before="0" w:after="150"/>
        <w:ind w:left="0" w:right="0" w:firstLine="450"/>
        <w:jc w:val="both"/>
        <w:rPr>
          <w:shd w:fill="auto" w:val="clear"/>
        </w:rPr>
      </w:pPr>
      <w:r>
        <w:rPr>
          <w:b w:val="false"/>
          <w:i w:val="false"/>
          <w:caps w:val="false"/>
          <w:smallCaps w:val="false"/>
          <w:color w:val="333333"/>
          <w:spacing w:val="0"/>
          <w:sz w:val="24"/>
          <w:shd w:fill="auto" w:val="clear"/>
        </w:rPr>
        <w:t>Пприм. = Пкімн. * Кпер.;</w:t>
      </w:r>
    </w:p>
    <w:p>
      <w:pPr>
        <w:pStyle w:val="Style16"/>
        <w:widowControl/>
        <w:spacing w:before="0" w:after="150"/>
        <w:ind w:left="0" w:right="0" w:firstLine="450"/>
        <w:jc w:val="both"/>
        <w:rPr>
          <w:shd w:fill="auto" w:val="clear"/>
        </w:rPr>
      </w:pPr>
      <w:r>
        <w:rPr>
          <w:b w:val="false"/>
          <w:i w:val="false"/>
          <w:caps w:val="false"/>
          <w:smallCaps w:val="false"/>
          <w:color w:val="333333"/>
          <w:spacing w:val="0"/>
          <w:sz w:val="24"/>
          <w:shd w:fill="auto" w:val="clear"/>
        </w:rPr>
        <w:t>де Пприм. – загальна площа приміщень, що здаються в оренду, кв. м;</w:t>
      </w:r>
    </w:p>
    <w:p>
      <w:pPr>
        <w:pStyle w:val="Style16"/>
        <w:widowControl/>
        <w:spacing w:before="0" w:after="150"/>
        <w:ind w:left="0" w:right="0" w:firstLine="450"/>
        <w:jc w:val="both"/>
        <w:rPr>
          <w:shd w:fill="auto" w:val="clear"/>
        </w:rPr>
      </w:pPr>
      <w:r>
        <w:rPr>
          <w:b w:val="false"/>
          <w:i w:val="false"/>
          <w:caps w:val="false"/>
          <w:smallCaps w:val="false"/>
          <w:color w:val="333333"/>
          <w:spacing w:val="0"/>
          <w:sz w:val="24"/>
          <w:shd w:fill="auto" w:val="clear"/>
        </w:rPr>
        <w:t>Пкімн. – корисна площа кімнат, що передаються в оренду для використання за будь-яким призначенням, кв.м;</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Кпер. – коефіцієнт перерахунку корисної площі будівлі в загальну, який розраховується шляхом ділення загальної площі всієї будівлі (без врахування площі підвальних приміщень та технічних поверхів, якщо вони не експлуатуються орендарем) на корисну площу будівлі (без врахування площі вестибюлів, фойє, східців, коридорів, санітарних кімнат, ліфтових площадок тощо, у разі, коли вони не використовуються орендарями або балансоутримувачем одноосібно).Також, орендодавець може визначати площі будівлі, в тому числі і підвальні приміщення, які згідно інвентарної справи відносяться до підсобної площі, але їх можливо використовувати в своїй діяльності або передавати їх в оренду, та враховувати це при визначенні коефіцієнта перерахунку корисної площі в загальну.</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18.2. Відповідальність за правильність розрахунку коефіцієнту перерахунку корисної площі в загальну несе балансоутримувач.</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18.3. У разі, якщо частина будівлі, що передається в оренду, має окремий вхід і орендар не користується іншими приміщеннями в будівлі, загальною площею оренди є площа, яку фактично використовує орендар.</w:t>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tbl>
      <w:tblPr>
        <w:tblW w:w="5000" w:type="pct"/>
        <w:jc w:val="left"/>
        <w:tblInd w:w="0" w:type="dxa"/>
        <w:tblLayout w:type="fixed"/>
        <w:tblCellMar>
          <w:top w:w="0" w:type="dxa"/>
          <w:left w:w="0" w:type="dxa"/>
          <w:bottom w:w="0" w:type="dxa"/>
          <w:right w:w="0" w:type="dxa"/>
        </w:tblCellMar>
      </w:tblPr>
      <w:tblGrid>
        <w:gridCol w:w="4479"/>
        <w:gridCol w:w="5158"/>
      </w:tblGrid>
      <w:tr>
        <w:trPr/>
        <w:tc>
          <w:tcPr>
            <w:tcW w:w="4479" w:type="dxa"/>
            <w:tcBorders/>
          </w:tcPr>
          <w:p>
            <w:pPr>
              <w:pStyle w:val="Style24"/>
              <w:widowControl w:val="false"/>
              <w:spacing w:before="150" w:after="150"/>
              <w:ind w:left="0" w:right="0" w:hanging="0"/>
              <w:jc w:val="left"/>
              <w:rPr/>
            </w:pPr>
            <w:r>
              <w:rPr/>
            </w:r>
          </w:p>
        </w:tc>
        <w:tc>
          <w:tcPr>
            <w:tcW w:w="5158" w:type="dxa"/>
            <w:tcBorders/>
          </w:tcPr>
          <w:p>
            <w:pPr>
              <w:pStyle w:val="Style24"/>
              <w:widowControl w:val="false"/>
              <w:spacing w:before="150" w:after="150"/>
              <w:ind w:left="0" w:right="0" w:hanging="0"/>
              <w:jc w:val="center"/>
              <w:rPr/>
            </w:pPr>
            <w:r>
              <w:rPr/>
              <w:t>Додаток 1</w:t>
              <w:br/>
              <w:t>до Методики</w:t>
            </w:r>
          </w:p>
        </w:tc>
      </w:tr>
    </w:tbl>
    <w:p>
      <w:pPr>
        <w:pStyle w:val="Style16"/>
        <w:widowControl/>
        <w:spacing w:before="150" w:after="150"/>
        <w:ind w:left="450" w:right="450" w:hanging="0"/>
        <w:jc w:val="center"/>
        <w:rPr/>
      </w:pPr>
      <w:bookmarkStart w:id="46" w:name="n76"/>
      <w:bookmarkEnd w:id="46"/>
      <w:r>
        <w:rPr>
          <w:b/>
          <w:i w:val="false"/>
          <w:caps w:val="false"/>
          <w:smallCaps w:val="false"/>
          <w:strike w:val="false"/>
          <w:dstrike w:val="false"/>
          <w:color w:val="333333"/>
          <w:spacing w:val="0"/>
          <w:sz w:val="28"/>
          <w:u w:val="none"/>
          <w:effect w:val="none"/>
        </w:rPr>
        <w:t>ОРЕНДНІ</w:t>
      </w:r>
      <w:r>
        <w:rPr>
          <w:b w:val="false"/>
          <w:i w:val="false"/>
          <w:caps w:val="false"/>
          <w:smallCaps w:val="false"/>
          <w:color w:val="333333"/>
          <w:spacing w:val="0"/>
          <w:sz w:val="24"/>
        </w:rPr>
        <w:br/>
      </w:r>
      <w:r>
        <w:rPr>
          <w:b/>
          <w:i w:val="false"/>
          <w:caps w:val="false"/>
          <w:smallCaps w:val="false"/>
          <w:strike w:val="false"/>
          <w:dstrike w:val="false"/>
          <w:color w:val="333333"/>
          <w:spacing w:val="0"/>
          <w:sz w:val="28"/>
          <w:u w:val="none"/>
          <w:effect w:val="none"/>
        </w:rPr>
        <w:t>ставки для договорів оренди комунального майна Покровської міської територіальної громади Дніпропетровської області</w:t>
      </w:r>
    </w:p>
    <w:p>
      <w:pPr>
        <w:pStyle w:val="Normal"/>
        <w:spacing w:before="0" w:after="0"/>
        <w:ind w:left="0" w:right="0" w:hanging="0"/>
        <w:rPr>
          <w:sz w:val="4"/>
          <w:szCs w:val="4"/>
        </w:rPr>
      </w:pPr>
      <w:r>
        <w:rPr>
          <w:sz w:val="4"/>
          <w:szCs w:val="4"/>
        </w:rPr>
      </w:r>
      <w:bookmarkStart w:id="47" w:name="n243"/>
      <w:bookmarkStart w:id="48" w:name="n243"/>
      <w:bookmarkEnd w:id="48"/>
    </w:p>
    <w:tbl>
      <w:tblPr>
        <w:tblW w:w="5000" w:type="pct"/>
        <w:jc w:val="center"/>
        <w:tblInd w:w="0" w:type="dxa"/>
        <w:tblLayout w:type="fixed"/>
        <w:tblCellMar>
          <w:top w:w="28" w:type="dxa"/>
          <w:left w:w="0" w:type="dxa"/>
          <w:bottom w:w="28" w:type="dxa"/>
          <w:right w:w="0" w:type="dxa"/>
        </w:tblCellMar>
      </w:tblPr>
      <w:tblGrid>
        <w:gridCol w:w="7161"/>
        <w:gridCol w:w="2476"/>
      </w:tblGrid>
      <w:tr>
        <w:trPr/>
        <w:tc>
          <w:tcPr>
            <w:tcW w:w="7161" w:type="dxa"/>
            <w:tcBorders>
              <w:top w:val="single" w:sz="4" w:space="0" w:color="000000"/>
              <w:bottom w:val="single" w:sz="4" w:space="0" w:color="000000"/>
            </w:tcBorders>
          </w:tcPr>
          <w:p>
            <w:pPr>
              <w:pStyle w:val="Style24"/>
              <w:widowControl w:val="false"/>
              <w:spacing w:before="150" w:after="150"/>
              <w:ind w:left="0" w:right="0" w:hanging="0"/>
              <w:jc w:val="center"/>
              <w:rPr/>
            </w:pPr>
            <w:r>
              <w:rPr/>
              <w:t>Орендарі</w:t>
            </w:r>
          </w:p>
        </w:tc>
        <w:tc>
          <w:tcPr>
            <w:tcW w:w="2476" w:type="dxa"/>
            <w:tcBorders>
              <w:top w:val="single" w:sz="4" w:space="0" w:color="000000"/>
              <w:bottom w:val="single" w:sz="4" w:space="0" w:color="000000"/>
            </w:tcBorders>
          </w:tcPr>
          <w:p>
            <w:pPr>
              <w:pStyle w:val="Style24"/>
              <w:widowControl w:val="false"/>
              <w:spacing w:before="150" w:after="150"/>
              <w:ind w:left="0" w:right="0" w:hanging="0"/>
              <w:jc w:val="center"/>
              <w:rPr/>
            </w:pPr>
            <w:r>
              <w:rPr/>
              <w:t>Орендна ставка, відсотків</w:t>
            </w:r>
          </w:p>
        </w:tc>
      </w:tr>
      <w:tr>
        <w:trPr/>
        <w:tc>
          <w:tcPr>
            <w:tcW w:w="7161" w:type="dxa"/>
            <w:tcBorders/>
            <w:tcMar>
              <w:top w:w="0" w:type="dxa"/>
              <w:bottom w:w="0" w:type="dxa"/>
            </w:tcMar>
          </w:tcPr>
          <w:p>
            <w:pPr>
              <w:pStyle w:val="Style24"/>
              <w:widowControl w:val="false"/>
              <w:spacing w:before="36" w:after="36"/>
              <w:ind w:left="0" w:right="0" w:hanging="0"/>
              <w:jc w:val="left"/>
              <w:rPr/>
            </w:pPr>
            <w:r>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2476" w:type="dxa"/>
            <w:tcBorders/>
            <w:tcMar>
              <w:top w:w="0" w:type="dxa"/>
              <w:bottom w:w="0" w:type="dxa"/>
            </w:tcMar>
          </w:tcPr>
          <w:p>
            <w:pPr>
              <w:pStyle w:val="Style24"/>
              <w:widowControl w:val="false"/>
              <w:spacing w:before="150" w:after="150"/>
              <w:ind w:left="0" w:right="0" w:hanging="0"/>
              <w:jc w:val="center"/>
              <w:rPr/>
            </w:pPr>
            <w:r>
              <w:rPr/>
              <w:t>10</w:t>
            </w:r>
          </w:p>
        </w:tc>
      </w:tr>
      <w:tr>
        <w:trPr/>
        <w:tc>
          <w:tcPr>
            <w:tcW w:w="7161" w:type="dxa"/>
            <w:tcBorders/>
            <w:tcMar>
              <w:top w:w="0" w:type="dxa"/>
              <w:bottom w:w="0" w:type="dxa"/>
            </w:tcMar>
          </w:tcPr>
          <w:p>
            <w:pPr>
              <w:pStyle w:val="Style24"/>
              <w:widowControl w:val="false"/>
              <w:spacing w:before="36" w:after="36"/>
              <w:ind w:left="0" w:right="0" w:hanging="0"/>
              <w:jc w:val="left"/>
              <w:rPr/>
            </w:pPr>
            <w:r>
              <w:rPr/>
              <w:t>2. Приватні заклади освіти (суб’єкти підприємницької діяльності), які мають ліцензію на надання освітніх послуг у відповідній сфері (</w:t>
            </w:r>
            <w:r>
              <w:rPr>
                <w:shd w:fill="auto" w:val="clear"/>
              </w:rPr>
              <w:t>крім закладів освіти і суб’єктів підприємницької діяльності, визначених у пунктах 11 та 15 цього додатка), на площі, що використовується для надання ліцензійних послуг</w:t>
            </w:r>
          </w:p>
        </w:tc>
        <w:tc>
          <w:tcPr>
            <w:tcW w:w="2476" w:type="dxa"/>
            <w:tcBorders/>
            <w:tcMar>
              <w:top w:w="0" w:type="dxa"/>
              <w:bottom w:w="0" w:type="dxa"/>
            </w:tcMar>
          </w:tcPr>
          <w:p>
            <w:pPr>
              <w:pStyle w:val="Style24"/>
              <w:widowControl w:val="false"/>
              <w:spacing w:before="150" w:after="150"/>
              <w:ind w:left="0" w:right="0" w:hanging="0"/>
              <w:jc w:val="center"/>
              <w:rPr/>
            </w:pPr>
            <w:r>
              <w:rPr/>
              <w:t>10</w:t>
            </w:r>
          </w:p>
        </w:tc>
      </w:tr>
      <w:tr>
        <w:trPr/>
        <w:tc>
          <w:tcPr>
            <w:tcW w:w="7161" w:type="dxa"/>
            <w:tcBorders/>
            <w:tcMar>
              <w:top w:w="0" w:type="dxa"/>
              <w:bottom w:w="0" w:type="dxa"/>
            </w:tcMar>
          </w:tcPr>
          <w:p>
            <w:pPr>
              <w:pStyle w:val="Style24"/>
              <w:widowControl w:val="false"/>
              <w:spacing w:before="36" w:after="36"/>
              <w:ind w:left="0" w:right="0" w:hanging="0"/>
              <w:jc w:val="left"/>
              <w:rPr/>
            </w:pPr>
            <w:r>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2476" w:type="dxa"/>
            <w:tcBorders/>
            <w:tcMar>
              <w:top w:w="0" w:type="dxa"/>
              <w:bottom w:w="0" w:type="dxa"/>
            </w:tcMar>
          </w:tcPr>
          <w:p>
            <w:pPr>
              <w:pStyle w:val="Style24"/>
              <w:widowControl w:val="false"/>
              <w:spacing w:before="150" w:after="150"/>
              <w:ind w:left="0" w:right="0" w:hanging="0"/>
              <w:jc w:val="center"/>
              <w:rPr/>
            </w:pPr>
            <w:r>
              <w:rPr/>
              <w:t>8</w:t>
            </w:r>
          </w:p>
        </w:tc>
      </w:tr>
      <w:tr>
        <w:trPr/>
        <w:tc>
          <w:tcPr>
            <w:tcW w:w="7161" w:type="dxa"/>
            <w:tcBorders/>
            <w:tcMar>
              <w:top w:w="0" w:type="dxa"/>
              <w:bottom w:w="0" w:type="dxa"/>
            </w:tcMar>
          </w:tcPr>
          <w:p>
            <w:pPr>
              <w:pStyle w:val="Style24"/>
              <w:widowControl w:val="false"/>
              <w:spacing w:before="36" w:after="36"/>
              <w:ind w:left="0" w:right="0" w:hanging="0"/>
              <w:jc w:val="left"/>
              <w:rPr/>
            </w:pPr>
            <w:r>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2476" w:type="dxa"/>
            <w:tcBorders/>
            <w:tcMar>
              <w:top w:w="0" w:type="dxa"/>
              <w:bottom w:w="0" w:type="dxa"/>
            </w:tcMar>
          </w:tcPr>
          <w:p>
            <w:pPr>
              <w:pStyle w:val="Style24"/>
              <w:widowControl w:val="false"/>
              <w:spacing w:before="150" w:after="150"/>
              <w:ind w:left="0" w:right="0" w:hanging="0"/>
              <w:jc w:val="center"/>
              <w:rPr/>
            </w:pPr>
            <w:r>
              <w:rPr/>
              <w:t>4</w:t>
            </w:r>
          </w:p>
        </w:tc>
      </w:tr>
      <w:tr>
        <w:trPr/>
        <w:tc>
          <w:tcPr>
            <w:tcW w:w="7161" w:type="dxa"/>
            <w:tcBorders/>
            <w:tcMar>
              <w:top w:w="0" w:type="dxa"/>
              <w:bottom w:w="0" w:type="dxa"/>
            </w:tcMar>
          </w:tcPr>
          <w:p>
            <w:pPr>
              <w:pStyle w:val="Style24"/>
              <w:widowControl w:val="false"/>
              <w:spacing w:before="36" w:after="36"/>
              <w:ind w:left="0" w:right="0" w:hanging="0"/>
              <w:jc w:val="left"/>
              <w:rPr>
                <w:shd w:fill="auto" w:val="clear"/>
              </w:rPr>
            </w:pPr>
            <w:r>
              <w:rPr>
                <w:shd w:fill="auto" w:val="clear"/>
              </w:rPr>
              <w:t>5. Установи і організації, діяльність яких фінансується з місцевих бюджетів (крім орендарів, зазначених у пункті 11 цієї Методики)</w:t>
            </w:r>
          </w:p>
        </w:tc>
        <w:tc>
          <w:tcPr>
            <w:tcW w:w="2476" w:type="dxa"/>
            <w:tcBorders/>
            <w:tcMar>
              <w:top w:w="0" w:type="dxa"/>
              <w:bottom w:w="0" w:type="dxa"/>
            </w:tcMar>
          </w:tcPr>
          <w:p>
            <w:pPr>
              <w:pStyle w:val="Style24"/>
              <w:widowControl w:val="false"/>
              <w:spacing w:before="150" w:after="150"/>
              <w:ind w:left="0" w:right="0" w:hanging="0"/>
              <w:jc w:val="center"/>
              <w:rPr>
                <w:shd w:fill="auto" w:val="clear"/>
              </w:rPr>
            </w:pPr>
            <w:r>
              <w:rPr>
                <w:shd w:fill="auto" w:val="clear"/>
              </w:rPr>
              <w:t>4</w:t>
            </w:r>
          </w:p>
        </w:tc>
      </w:tr>
      <w:tr>
        <w:trPr/>
        <w:tc>
          <w:tcPr>
            <w:tcW w:w="7161" w:type="dxa"/>
            <w:tcBorders/>
            <w:tcMar>
              <w:top w:w="0" w:type="dxa"/>
              <w:bottom w:w="0" w:type="dxa"/>
            </w:tcMar>
          </w:tcPr>
          <w:p>
            <w:pPr>
              <w:pStyle w:val="Style24"/>
              <w:widowControl w:val="false"/>
              <w:spacing w:before="36" w:after="36"/>
              <w:ind w:left="0" w:right="0" w:hanging="0"/>
              <w:jc w:val="left"/>
              <w:rPr>
                <w:shd w:fill="auto" w:val="clear"/>
              </w:rPr>
            </w:pPr>
            <w:r>
              <w:rPr>
                <w:shd w:fill="auto" w:val="clear"/>
              </w:rPr>
              <w:t>6. Державні видавництва і підприємства книгорозповсюдження</w:t>
            </w:r>
          </w:p>
        </w:tc>
        <w:tc>
          <w:tcPr>
            <w:tcW w:w="2476" w:type="dxa"/>
            <w:tcBorders/>
            <w:tcMar>
              <w:top w:w="0" w:type="dxa"/>
              <w:bottom w:w="0" w:type="dxa"/>
            </w:tcMar>
          </w:tcPr>
          <w:p>
            <w:pPr>
              <w:pStyle w:val="Style24"/>
              <w:widowControl w:val="false"/>
              <w:spacing w:before="150" w:after="150"/>
              <w:ind w:left="0" w:right="0" w:hanging="0"/>
              <w:jc w:val="center"/>
              <w:rPr/>
            </w:pPr>
            <w:r>
              <w:rPr/>
              <w:t>4</w:t>
            </w:r>
          </w:p>
        </w:tc>
      </w:tr>
      <w:tr>
        <w:trPr/>
        <w:tc>
          <w:tcPr>
            <w:tcW w:w="7161" w:type="dxa"/>
            <w:tcBorders/>
            <w:tcMar>
              <w:top w:w="0" w:type="dxa"/>
              <w:bottom w:w="0" w:type="dxa"/>
            </w:tcMar>
          </w:tcPr>
          <w:p>
            <w:pPr>
              <w:pStyle w:val="Style24"/>
              <w:widowControl w:val="false"/>
              <w:spacing w:before="36" w:after="36"/>
              <w:ind w:left="0" w:right="0" w:hanging="0"/>
              <w:jc w:val="left"/>
              <w:rPr/>
            </w:pPr>
            <w:r>
              <w:rPr/>
              <w:t>7.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476" w:type="dxa"/>
            <w:tcBorders/>
            <w:tcMar>
              <w:top w:w="0" w:type="dxa"/>
              <w:bottom w:w="0" w:type="dxa"/>
            </w:tcMar>
          </w:tcPr>
          <w:p>
            <w:pPr>
              <w:pStyle w:val="Style24"/>
              <w:widowControl w:val="false"/>
              <w:spacing w:before="150" w:after="150"/>
              <w:ind w:left="0" w:right="0" w:hanging="0"/>
              <w:jc w:val="center"/>
              <w:rPr/>
            </w:pPr>
            <w:r>
              <w:rPr/>
              <w:t>4</w:t>
            </w:r>
          </w:p>
        </w:tc>
      </w:tr>
      <w:tr>
        <w:trPr/>
        <w:tc>
          <w:tcPr>
            <w:tcW w:w="7161" w:type="dxa"/>
            <w:tcBorders/>
            <w:tcMar>
              <w:top w:w="0" w:type="dxa"/>
              <w:bottom w:w="0" w:type="dxa"/>
            </w:tcMar>
          </w:tcPr>
          <w:p>
            <w:pPr>
              <w:pStyle w:val="Style24"/>
              <w:widowControl w:val="false"/>
              <w:spacing w:before="36" w:after="36"/>
              <w:ind w:left="0" w:right="0" w:hanging="0"/>
              <w:jc w:val="left"/>
              <w:rPr/>
            </w:pPr>
            <w:r>
              <w:rPr/>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476" w:type="dxa"/>
            <w:tcBorders/>
            <w:tcMar>
              <w:top w:w="0" w:type="dxa"/>
              <w:bottom w:w="0" w:type="dxa"/>
            </w:tcMar>
          </w:tcPr>
          <w:p>
            <w:pPr>
              <w:pStyle w:val="Style24"/>
              <w:widowControl w:val="false"/>
              <w:spacing w:before="150" w:after="150"/>
              <w:ind w:left="0" w:right="0" w:hanging="0"/>
              <w:jc w:val="center"/>
              <w:rPr/>
            </w:pPr>
            <w:r>
              <w:rPr/>
              <w:t>3</w:t>
            </w:r>
          </w:p>
        </w:tc>
      </w:tr>
      <w:tr>
        <w:trPr/>
        <w:tc>
          <w:tcPr>
            <w:tcW w:w="7161" w:type="dxa"/>
            <w:tcBorders/>
            <w:tcMar>
              <w:top w:w="0" w:type="dxa"/>
              <w:bottom w:w="0" w:type="dxa"/>
            </w:tcMar>
          </w:tcPr>
          <w:p>
            <w:pPr>
              <w:pStyle w:val="Style24"/>
              <w:widowControl w:val="false"/>
              <w:spacing w:before="36" w:after="36"/>
              <w:ind w:left="0" w:right="0" w:hanging="0"/>
              <w:jc w:val="left"/>
              <w:rPr/>
            </w:pPr>
            <w:r>
              <w:rPr/>
              <w:t>9. Державні заклади освіти, що ча</w:t>
            </w:r>
            <w:r>
              <w:rPr>
                <w:shd w:fill="auto" w:val="clear"/>
              </w:rPr>
              <w:t>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орендарів, зазначених у пункті 11 цієї Методики та закладів освіти і суб’єктів підприємницької діяльності, визначених у пункті 15 цього додатка)</w:t>
            </w:r>
          </w:p>
        </w:tc>
        <w:tc>
          <w:tcPr>
            <w:tcW w:w="2476" w:type="dxa"/>
            <w:tcBorders/>
            <w:tcMar>
              <w:top w:w="0" w:type="dxa"/>
              <w:bottom w:w="0" w:type="dxa"/>
            </w:tcMar>
          </w:tcPr>
          <w:p>
            <w:pPr>
              <w:pStyle w:val="Style24"/>
              <w:widowControl w:val="false"/>
              <w:spacing w:before="150" w:after="150"/>
              <w:ind w:left="0" w:right="0" w:hanging="0"/>
              <w:jc w:val="center"/>
              <w:rPr/>
            </w:pPr>
            <w:r>
              <w:rPr/>
              <w:t>3</w:t>
            </w:r>
          </w:p>
        </w:tc>
      </w:tr>
      <w:tr>
        <w:trPr/>
        <w:tc>
          <w:tcPr>
            <w:tcW w:w="7161" w:type="dxa"/>
            <w:tcBorders/>
            <w:tcMar>
              <w:top w:w="0" w:type="dxa"/>
              <w:bottom w:w="0" w:type="dxa"/>
            </w:tcMar>
          </w:tcPr>
          <w:p>
            <w:pPr>
              <w:pStyle w:val="Style24"/>
              <w:widowControl w:val="false"/>
              <w:spacing w:before="36" w:after="36"/>
              <w:ind w:left="0" w:right="0" w:hanging="0"/>
              <w:jc w:val="left"/>
              <w:rPr/>
            </w:pPr>
            <w:r>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476" w:type="dxa"/>
            <w:tcBorders/>
            <w:tcMar>
              <w:top w:w="0" w:type="dxa"/>
              <w:bottom w:w="0" w:type="dxa"/>
            </w:tcMar>
          </w:tcPr>
          <w:p>
            <w:pPr>
              <w:pStyle w:val="Style24"/>
              <w:widowControl w:val="false"/>
              <w:spacing w:before="150" w:after="150"/>
              <w:ind w:left="0" w:right="0" w:hanging="0"/>
              <w:jc w:val="center"/>
              <w:rPr/>
            </w:pPr>
            <w:r>
              <w:rPr/>
              <w:t>3</w:t>
            </w:r>
          </w:p>
        </w:tc>
      </w:tr>
      <w:tr>
        <w:trPr/>
        <w:tc>
          <w:tcPr>
            <w:tcW w:w="7161" w:type="dxa"/>
            <w:tcBorders/>
            <w:tcMar>
              <w:top w:w="0" w:type="dxa"/>
              <w:bottom w:w="0" w:type="dxa"/>
            </w:tcMar>
          </w:tcPr>
          <w:p>
            <w:pPr>
              <w:pStyle w:val="Style24"/>
              <w:widowControl w:val="false"/>
              <w:spacing w:before="36" w:after="36"/>
              <w:ind w:left="0" w:right="0" w:hanging="0"/>
              <w:jc w:val="left"/>
              <w:rPr/>
            </w:pPr>
            <w:r>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476" w:type="dxa"/>
            <w:tcBorders/>
            <w:tcMar>
              <w:top w:w="0" w:type="dxa"/>
              <w:bottom w:w="0" w:type="dxa"/>
            </w:tcMar>
          </w:tcPr>
          <w:p>
            <w:pPr>
              <w:pStyle w:val="Style24"/>
              <w:widowControl w:val="false"/>
              <w:spacing w:before="150" w:after="150"/>
              <w:ind w:left="0" w:right="0" w:hanging="0"/>
              <w:jc w:val="center"/>
              <w:rPr/>
            </w:pPr>
            <w:r>
              <w:rPr/>
              <w:t>3</w:t>
            </w:r>
          </w:p>
        </w:tc>
      </w:tr>
      <w:tr>
        <w:trPr/>
        <w:tc>
          <w:tcPr>
            <w:tcW w:w="7161" w:type="dxa"/>
            <w:tcBorders/>
            <w:tcMar>
              <w:top w:w="0" w:type="dxa"/>
              <w:bottom w:w="0" w:type="dxa"/>
            </w:tcMar>
          </w:tcPr>
          <w:p>
            <w:pPr>
              <w:pStyle w:val="Style24"/>
              <w:widowControl w:val="false"/>
              <w:spacing w:before="36" w:after="36"/>
              <w:ind w:left="0" w:right="0" w:hanging="0"/>
              <w:jc w:val="left"/>
              <w:rPr/>
            </w:pPr>
            <w:r>
              <w:rPr/>
              <w:t xml:space="preserve">12. Установи і організації, діяльність яких частково фінансується за рахунок державного бюджету </w:t>
            </w:r>
          </w:p>
        </w:tc>
        <w:tc>
          <w:tcPr>
            <w:tcW w:w="2476" w:type="dxa"/>
            <w:tcBorders/>
            <w:tcMar>
              <w:top w:w="0" w:type="dxa"/>
              <w:bottom w:w="0" w:type="dxa"/>
            </w:tcMar>
          </w:tcPr>
          <w:p>
            <w:pPr>
              <w:pStyle w:val="Style24"/>
              <w:widowControl w:val="false"/>
              <w:spacing w:before="150" w:after="150"/>
              <w:ind w:left="0" w:right="0" w:hanging="0"/>
              <w:jc w:val="center"/>
              <w:rPr/>
            </w:pPr>
            <w:r>
              <w:rPr/>
              <w:t>3</w:t>
            </w:r>
          </w:p>
        </w:tc>
      </w:tr>
      <w:tr>
        <w:trPr/>
        <w:tc>
          <w:tcPr>
            <w:tcW w:w="7161" w:type="dxa"/>
            <w:tcBorders/>
            <w:tcMar>
              <w:top w:w="0" w:type="dxa"/>
              <w:bottom w:w="0" w:type="dxa"/>
            </w:tcMar>
          </w:tcPr>
          <w:p>
            <w:pPr>
              <w:pStyle w:val="Style24"/>
              <w:widowControl w:val="false"/>
              <w:spacing w:before="36" w:after="36"/>
              <w:ind w:left="0" w:right="0" w:hanging="0"/>
              <w:jc w:val="left"/>
              <w:rPr/>
            </w:pPr>
            <w:r>
              <w:rPr/>
              <w:t>13. Музеї, крім тих, які повністю фінансуються за рахунок державного бюджету</w:t>
            </w:r>
          </w:p>
        </w:tc>
        <w:tc>
          <w:tcPr>
            <w:tcW w:w="2476" w:type="dxa"/>
            <w:tcBorders/>
            <w:tcMar>
              <w:top w:w="0" w:type="dxa"/>
              <w:bottom w:w="0" w:type="dxa"/>
            </w:tcMar>
          </w:tcPr>
          <w:p>
            <w:pPr>
              <w:pStyle w:val="Style24"/>
              <w:widowControl w:val="false"/>
              <w:spacing w:before="150" w:after="150"/>
              <w:ind w:left="0" w:right="0" w:hanging="0"/>
              <w:jc w:val="center"/>
              <w:rPr/>
            </w:pPr>
            <w:r>
              <w:rPr/>
              <w:t>3</w:t>
            </w:r>
          </w:p>
        </w:tc>
      </w:tr>
      <w:tr>
        <w:trPr/>
        <w:tc>
          <w:tcPr>
            <w:tcW w:w="7161" w:type="dxa"/>
            <w:tcBorders/>
            <w:tcMar>
              <w:top w:w="0" w:type="dxa"/>
              <w:bottom w:w="0" w:type="dxa"/>
            </w:tcMar>
          </w:tcPr>
          <w:p>
            <w:pPr>
              <w:pStyle w:val="Style24"/>
              <w:widowControl w:val="false"/>
              <w:spacing w:before="36" w:after="36"/>
              <w:ind w:left="0" w:right="0" w:hanging="0"/>
              <w:jc w:val="left"/>
              <w:rPr/>
            </w:pPr>
            <w:r>
              <w:rPr>
                <w:color w:val="000000"/>
                <w:u w:val="none"/>
                <w:shd w:fill="auto" w:val="clear"/>
              </w:rPr>
              <w:t>14.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(крім орендарів, зазначених у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476" w:type="dxa"/>
            <w:tcBorders/>
            <w:tcMar>
              <w:top w:w="0" w:type="dxa"/>
              <w:bottom w:w="0" w:type="dxa"/>
            </w:tcMar>
          </w:tcPr>
          <w:p>
            <w:pPr>
              <w:pStyle w:val="Style24"/>
              <w:widowControl w:val="false"/>
              <w:spacing w:before="150" w:after="150"/>
              <w:ind w:left="0" w:right="0" w:hanging="0"/>
              <w:jc w:val="center"/>
              <w:rPr/>
            </w:pPr>
            <w:r>
              <w:rPr/>
              <w:t>3</w:t>
            </w:r>
          </w:p>
        </w:tc>
      </w:tr>
      <w:tr>
        <w:trPr/>
        <w:tc>
          <w:tcPr>
            <w:tcW w:w="7161" w:type="dxa"/>
            <w:tcBorders/>
            <w:tcMar>
              <w:top w:w="0" w:type="dxa"/>
              <w:bottom w:w="0" w:type="dxa"/>
            </w:tcMar>
          </w:tcPr>
          <w:p>
            <w:pPr>
              <w:pStyle w:val="Style24"/>
              <w:widowControl w:val="false"/>
              <w:spacing w:before="36" w:after="36"/>
              <w:ind w:left="0" w:right="0" w:hanging="0"/>
              <w:jc w:val="left"/>
              <w:rPr/>
            </w:pPr>
            <w:r>
              <w:rPr>
                <w:color w:val="000000"/>
                <w:u w:val="none"/>
                <w:shd w:fill="auto" w:val="clear"/>
              </w:rPr>
              <w:t>15.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 (крім орендарів, зазначених у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476" w:type="dxa"/>
            <w:tcBorders/>
            <w:tcMar>
              <w:top w:w="0" w:type="dxa"/>
              <w:bottom w:w="0" w:type="dxa"/>
            </w:tcMar>
          </w:tcPr>
          <w:p>
            <w:pPr>
              <w:pStyle w:val="Style24"/>
              <w:widowControl w:val="false"/>
              <w:spacing w:before="150" w:after="150"/>
              <w:ind w:left="0" w:right="0" w:hanging="0"/>
              <w:jc w:val="center"/>
              <w:rPr/>
            </w:pPr>
            <w:r>
              <w:rPr/>
              <w:t>1</w:t>
            </w:r>
          </w:p>
        </w:tc>
      </w:tr>
      <w:tr>
        <w:trPr/>
        <w:tc>
          <w:tcPr>
            <w:tcW w:w="7161" w:type="dxa"/>
            <w:tcBorders/>
            <w:tcMar>
              <w:top w:w="0" w:type="dxa"/>
              <w:bottom w:w="0" w:type="dxa"/>
            </w:tcMar>
          </w:tcPr>
          <w:p>
            <w:pPr>
              <w:pStyle w:val="Style24"/>
              <w:widowControl w:val="false"/>
              <w:spacing w:before="93" w:after="93"/>
              <w:ind w:left="0" w:right="0" w:hanging="0"/>
              <w:jc w:val="left"/>
              <w:rPr/>
            </w:pPr>
            <w:r>
              <w:rPr/>
              <w:t>16. Релігійні організації для забезпечення проведення релігійних обрядів та церемоній:</w:t>
            </w:r>
          </w:p>
        </w:tc>
        <w:tc>
          <w:tcPr>
            <w:tcW w:w="2476" w:type="dxa"/>
            <w:tcBorders/>
            <w:tcMar>
              <w:top w:w="0" w:type="dxa"/>
              <w:bottom w:w="0" w:type="dxa"/>
            </w:tcMar>
          </w:tcPr>
          <w:p>
            <w:pPr>
              <w:pStyle w:val="Style24"/>
              <w:widowControl w:val="false"/>
              <w:spacing w:before="150" w:after="150"/>
              <w:ind w:left="0" w:right="0" w:hanging="0"/>
              <w:jc w:val="center"/>
              <w:rPr/>
            </w:pPr>
            <w:r>
              <w:rPr/>
            </w:r>
          </w:p>
        </w:tc>
      </w:tr>
      <w:tr>
        <w:trPr/>
        <w:tc>
          <w:tcPr>
            <w:tcW w:w="7161" w:type="dxa"/>
            <w:tcBorders/>
            <w:tcMar>
              <w:top w:w="0" w:type="dxa"/>
              <w:bottom w:w="0" w:type="dxa"/>
            </w:tcMar>
          </w:tcPr>
          <w:p>
            <w:pPr>
              <w:pStyle w:val="Style24"/>
              <w:widowControl w:val="false"/>
              <w:spacing w:before="36" w:after="36"/>
              <w:ind w:left="0" w:right="0" w:hanging="0"/>
              <w:jc w:val="left"/>
              <w:rPr/>
            </w:pPr>
            <w:r>
              <w:rPr/>
              <w:t>на площі не більш як 50 кв. метрів</w:t>
            </w:r>
          </w:p>
        </w:tc>
        <w:tc>
          <w:tcPr>
            <w:tcW w:w="2476" w:type="dxa"/>
            <w:tcBorders/>
            <w:tcMar>
              <w:top w:w="0" w:type="dxa"/>
              <w:bottom w:w="0" w:type="dxa"/>
            </w:tcMar>
          </w:tcPr>
          <w:p>
            <w:pPr>
              <w:pStyle w:val="Style24"/>
              <w:widowControl w:val="false"/>
              <w:spacing w:before="150" w:after="150"/>
              <w:ind w:left="0" w:right="0" w:hanging="0"/>
              <w:jc w:val="center"/>
              <w:rPr/>
            </w:pPr>
            <w:r>
              <w:rPr/>
              <w:t>3</w:t>
            </w:r>
          </w:p>
        </w:tc>
      </w:tr>
      <w:tr>
        <w:trPr/>
        <w:tc>
          <w:tcPr>
            <w:tcW w:w="7161" w:type="dxa"/>
            <w:tcBorders/>
            <w:tcMar>
              <w:top w:w="0" w:type="dxa"/>
              <w:bottom w:w="0" w:type="dxa"/>
            </w:tcMar>
          </w:tcPr>
          <w:p>
            <w:pPr>
              <w:pStyle w:val="Style24"/>
              <w:widowControl w:val="false"/>
              <w:spacing w:before="36" w:after="36"/>
              <w:ind w:left="0" w:right="0" w:hanging="0"/>
              <w:jc w:val="left"/>
              <w:rPr/>
            </w:pPr>
            <w:r>
              <w:rPr/>
              <w:t>на частині площі, що перевищує 50 кв. метрів</w:t>
            </w:r>
          </w:p>
        </w:tc>
        <w:tc>
          <w:tcPr>
            <w:tcW w:w="2476" w:type="dxa"/>
            <w:tcBorders/>
            <w:tcMar>
              <w:top w:w="0" w:type="dxa"/>
              <w:bottom w:w="0" w:type="dxa"/>
            </w:tcMar>
          </w:tcPr>
          <w:p>
            <w:pPr>
              <w:pStyle w:val="Style24"/>
              <w:widowControl w:val="false"/>
              <w:spacing w:before="150" w:after="150"/>
              <w:ind w:left="0" w:right="0" w:hanging="0"/>
              <w:jc w:val="center"/>
              <w:rPr/>
            </w:pPr>
            <w:r>
              <w:rPr/>
              <w:t>7</w:t>
            </w:r>
          </w:p>
        </w:tc>
      </w:tr>
      <w:tr>
        <w:trPr/>
        <w:tc>
          <w:tcPr>
            <w:tcW w:w="7161" w:type="dxa"/>
            <w:tcBorders/>
            <w:tcMar>
              <w:top w:w="0" w:type="dxa"/>
              <w:bottom w:w="0" w:type="dxa"/>
            </w:tcMar>
          </w:tcPr>
          <w:p>
            <w:pPr>
              <w:pStyle w:val="Style24"/>
              <w:widowControl w:val="false"/>
              <w:spacing w:before="36" w:after="36"/>
              <w:ind w:left="0" w:right="0" w:hanging="0"/>
              <w:jc w:val="left"/>
              <w:rPr/>
            </w:pPr>
            <w:r>
              <w:rPr/>
              <w:t xml:space="preserve">17. Народні депутати України або </w:t>
            </w:r>
            <w:r>
              <w:rPr>
                <w:shd w:fill="auto" w:val="clear"/>
              </w:rPr>
              <w:t>депутати місцевих рад для розміщення громадської приймальні, у тому числі коли договір оренди від імені депутата укладає</w:t>
            </w:r>
            <w:r>
              <w:rPr>
                <w:color w:val="000000"/>
                <w:u w:val="none"/>
                <w:shd w:fill="auto" w:val="clear"/>
              </w:rPr>
              <w:t>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w:t>
            </w:r>
            <w:r>
              <w:rPr>
                <w:b w:val="false"/>
                <w:i w:val="false"/>
                <w:caps w:val="false"/>
                <w:smallCaps w:val="false"/>
                <w:color w:val="000000"/>
                <w:sz w:val="24"/>
                <w:u w:val="none"/>
                <w:shd w:fill="auto" w:val="clear"/>
              </w:rPr>
              <w:t>пункт 11</w:t>
            </w:r>
            <w:r>
              <w:rPr>
                <w:color w:val="000000"/>
                <w:u w:val="none"/>
                <w:shd w:fill="auto" w:val="clear"/>
              </w:rPr>
              <w:t> цієї Методики):</w:t>
            </w:r>
          </w:p>
        </w:tc>
        <w:tc>
          <w:tcPr>
            <w:tcW w:w="2476" w:type="dxa"/>
            <w:tcBorders/>
            <w:tcMar>
              <w:top w:w="0" w:type="dxa"/>
              <w:bottom w:w="0" w:type="dxa"/>
            </w:tcMar>
          </w:tcPr>
          <w:p>
            <w:pPr>
              <w:pStyle w:val="Style24"/>
              <w:widowControl w:val="false"/>
              <w:spacing w:before="150" w:after="150"/>
              <w:ind w:left="0" w:right="0" w:hanging="0"/>
              <w:jc w:val="center"/>
              <w:rPr/>
            </w:pPr>
            <w:r>
              <w:rPr/>
            </w:r>
          </w:p>
        </w:tc>
      </w:tr>
      <w:tr>
        <w:trPr/>
        <w:tc>
          <w:tcPr>
            <w:tcW w:w="7161" w:type="dxa"/>
            <w:tcBorders/>
            <w:tcMar>
              <w:top w:w="0" w:type="dxa"/>
              <w:bottom w:w="0" w:type="dxa"/>
            </w:tcMar>
          </w:tcPr>
          <w:p>
            <w:pPr>
              <w:pStyle w:val="Style24"/>
              <w:widowControl w:val="false"/>
              <w:spacing w:before="36" w:after="36"/>
              <w:ind w:left="0" w:right="0" w:hanging="0"/>
              <w:jc w:val="left"/>
              <w:rPr>
                <w:shd w:fill="auto" w:val="clear"/>
              </w:rPr>
            </w:pPr>
            <w:r>
              <w:rPr>
                <w:shd w:fill="auto" w:val="clear"/>
              </w:rPr>
              <w:t>на площі не більш як 50 кв. метрів</w:t>
            </w:r>
          </w:p>
        </w:tc>
        <w:tc>
          <w:tcPr>
            <w:tcW w:w="2476" w:type="dxa"/>
            <w:tcBorders/>
            <w:tcMar>
              <w:top w:w="0" w:type="dxa"/>
              <w:bottom w:w="0" w:type="dxa"/>
            </w:tcMar>
          </w:tcPr>
          <w:p>
            <w:pPr>
              <w:pStyle w:val="Style24"/>
              <w:widowControl w:val="false"/>
              <w:spacing w:before="150" w:after="150"/>
              <w:ind w:left="0" w:right="0" w:hanging="0"/>
              <w:jc w:val="center"/>
              <w:rPr>
                <w:shd w:fill="auto" w:val="clear"/>
              </w:rPr>
            </w:pPr>
            <w:r>
              <w:rPr>
                <w:shd w:fill="auto" w:val="clear"/>
              </w:rPr>
              <w:t>3</w:t>
            </w:r>
          </w:p>
        </w:tc>
      </w:tr>
      <w:tr>
        <w:trPr/>
        <w:tc>
          <w:tcPr>
            <w:tcW w:w="7161" w:type="dxa"/>
            <w:tcBorders/>
            <w:tcMar>
              <w:top w:w="0" w:type="dxa"/>
              <w:bottom w:w="0" w:type="dxa"/>
            </w:tcMar>
          </w:tcPr>
          <w:p>
            <w:pPr>
              <w:pStyle w:val="Style24"/>
              <w:widowControl w:val="false"/>
              <w:spacing w:before="36" w:after="36"/>
              <w:ind w:left="0" w:right="0" w:hanging="0"/>
              <w:jc w:val="left"/>
              <w:rPr>
                <w:shd w:fill="auto" w:val="clear"/>
              </w:rPr>
            </w:pPr>
            <w:r>
              <w:rPr>
                <w:shd w:fill="auto" w:val="clear"/>
              </w:rPr>
              <w:t>на частині площі, що перевищує 50 кв. метрів</w:t>
            </w:r>
          </w:p>
        </w:tc>
        <w:tc>
          <w:tcPr>
            <w:tcW w:w="2476" w:type="dxa"/>
            <w:tcBorders/>
            <w:tcMar>
              <w:top w:w="0" w:type="dxa"/>
              <w:bottom w:w="0" w:type="dxa"/>
            </w:tcMar>
          </w:tcPr>
          <w:p>
            <w:pPr>
              <w:pStyle w:val="Style24"/>
              <w:widowControl w:val="false"/>
              <w:spacing w:before="150" w:after="150"/>
              <w:ind w:left="0" w:right="0" w:hanging="0"/>
              <w:jc w:val="center"/>
              <w:rPr>
                <w:shd w:fill="auto" w:val="clear"/>
              </w:rPr>
            </w:pPr>
            <w:r>
              <w:rPr>
                <w:shd w:fill="auto" w:val="clear"/>
              </w:rPr>
              <w:t>7</w:t>
            </w:r>
          </w:p>
        </w:tc>
      </w:tr>
      <w:tr>
        <w:trPr/>
        <w:tc>
          <w:tcPr>
            <w:tcW w:w="7161" w:type="dxa"/>
            <w:tcBorders/>
            <w:tcMar>
              <w:top w:w="0" w:type="dxa"/>
              <w:bottom w:w="0" w:type="dxa"/>
            </w:tcMar>
          </w:tcPr>
          <w:p>
            <w:pPr>
              <w:pStyle w:val="Style24"/>
              <w:widowControl w:val="false"/>
              <w:spacing w:before="36" w:after="36"/>
              <w:ind w:left="0" w:right="0" w:hanging="0"/>
              <w:jc w:val="left"/>
              <w:rPr/>
            </w:pPr>
            <w:r>
              <w:rPr/>
              <w:t>18. Реабілітаційні установи для осіб з інвалідністю та дітей з інвалідністю для розміщення таких реабілітаційних установ:</w:t>
            </w:r>
          </w:p>
        </w:tc>
        <w:tc>
          <w:tcPr>
            <w:tcW w:w="2476" w:type="dxa"/>
            <w:tcBorders/>
            <w:tcMar>
              <w:top w:w="0" w:type="dxa"/>
              <w:bottom w:w="0" w:type="dxa"/>
            </w:tcMar>
          </w:tcPr>
          <w:p>
            <w:pPr>
              <w:pStyle w:val="Style24"/>
              <w:widowControl w:val="false"/>
              <w:spacing w:before="150" w:after="150"/>
              <w:ind w:left="0" w:right="0" w:hanging="0"/>
              <w:jc w:val="center"/>
              <w:rPr/>
            </w:pPr>
            <w:r>
              <w:rPr/>
            </w:r>
          </w:p>
        </w:tc>
      </w:tr>
      <w:tr>
        <w:trPr/>
        <w:tc>
          <w:tcPr>
            <w:tcW w:w="7161" w:type="dxa"/>
            <w:tcBorders/>
            <w:tcMar>
              <w:top w:w="0" w:type="dxa"/>
              <w:bottom w:w="0" w:type="dxa"/>
            </w:tcMar>
          </w:tcPr>
          <w:p>
            <w:pPr>
              <w:pStyle w:val="Style24"/>
              <w:widowControl w:val="false"/>
              <w:spacing w:before="36" w:after="36"/>
              <w:ind w:left="0" w:right="0" w:hanging="0"/>
              <w:jc w:val="left"/>
              <w:rPr/>
            </w:pPr>
            <w:r>
              <w:rPr/>
              <w:t>на площі не більш як 100 кв. метрів</w:t>
            </w:r>
          </w:p>
        </w:tc>
        <w:tc>
          <w:tcPr>
            <w:tcW w:w="2476" w:type="dxa"/>
            <w:tcBorders/>
            <w:tcMar>
              <w:top w:w="0" w:type="dxa"/>
              <w:bottom w:w="0" w:type="dxa"/>
            </w:tcMar>
          </w:tcPr>
          <w:p>
            <w:pPr>
              <w:pStyle w:val="Style24"/>
              <w:widowControl w:val="false"/>
              <w:spacing w:before="150" w:after="150"/>
              <w:ind w:left="0" w:right="0" w:hanging="0"/>
              <w:jc w:val="center"/>
              <w:rPr/>
            </w:pPr>
            <w:r>
              <w:rPr/>
              <w:t>1</w:t>
            </w:r>
          </w:p>
        </w:tc>
      </w:tr>
      <w:tr>
        <w:trPr/>
        <w:tc>
          <w:tcPr>
            <w:tcW w:w="7161" w:type="dxa"/>
            <w:tcBorders/>
            <w:tcMar>
              <w:top w:w="0" w:type="dxa"/>
              <w:bottom w:w="0" w:type="dxa"/>
            </w:tcMar>
          </w:tcPr>
          <w:p>
            <w:pPr>
              <w:pStyle w:val="Style24"/>
              <w:widowControl w:val="false"/>
              <w:spacing w:before="36" w:after="36"/>
              <w:ind w:left="0" w:right="0" w:hanging="0"/>
              <w:jc w:val="left"/>
              <w:rPr/>
            </w:pPr>
            <w:r>
              <w:rPr/>
              <w:t>на частині площі, що перевищує 100 кв. метрів</w:t>
            </w:r>
          </w:p>
        </w:tc>
        <w:tc>
          <w:tcPr>
            <w:tcW w:w="2476" w:type="dxa"/>
            <w:tcBorders/>
            <w:tcMar>
              <w:top w:w="0" w:type="dxa"/>
              <w:bottom w:w="0" w:type="dxa"/>
            </w:tcMar>
          </w:tcPr>
          <w:p>
            <w:pPr>
              <w:pStyle w:val="Style24"/>
              <w:widowControl w:val="false"/>
              <w:spacing w:before="150" w:after="150"/>
              <w:ind w:left="0" w:right="0" w:hanging="0"/>
              <w:jc w:val="center"/>
              <w:rPr/>
            </w:pPr>
            <w:r>
              <w:rPr/>
              <w:t>7</w:t>
            </w:r>
          </w:p>
        </w:tc>
      </w:tr>
      <w:tr>
        <w:trPr/>
        <w:tc>
          <w:tcPr>
            <w:tcW w:w="7161" w:type="dxa"/>
            <w:tcBorders/>
            <w:tcMar>
              <w:top w:w="0" w:type="dxa"/>
              <w:bottom w:w="0" w:type="dxa"/>
            </w:tcMar>
          </w:tcPr>
          <w:p>
            <w:pPr>
              <w:pStyle w:val="Style24"/>
              <w:widowControl w:val="false"/>
              <w:spacing w:before="36" w:after="36"/>
              <w:ind w:left="0" w:right="0" w:hanging="0"/>
              <w:jc w:val="left"/>
              <w:rPr/>
            </w:pPr>
            <w:r>
              <w:rPr/>
              <w:t>19. Релігійні організації для забезпечення проведення релігійних обрядів та церемоній, які на момент введення в дію </w:t>
            </w:r>
            <w:hyperlink r:id="rId40" w:tgtFrame="_blank">
              <w:r>
                <w:rPr>
                  <w:b w:val="false"/>
                  <w:i w:val="false"/>
                  <w:caps w:val="false"/>
                  <w:smallCaps w:val="false"/>
                  <w:color w:val="000099"/>
                  <w:sz w:val="24"/>
                  <w:u w:val="single"/>
                  <w:shd w:fill="auto" w:val="clear"/>
                </w:rPr>
                <w:t>Закону України</w:t>
              </w:r>
            </w:hyperlink>
            <w:r>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2476" w:type="dxa"/>
            <w:tcBorders/>
            <w:tcMar>
              <w:top w:w="0" w:type="dxa"/>
              <w:bottom w:w="0" w:type="dxa"/>
            </w:tcMar>
          </w:tcPr>
          <w:p>
            <w:pPr>
              <w:pStyle w:val="Style24"/>
              <w:widowControl w:val="false"/>
              <w:spacing w:before="150" w:after="150"/>
              <w:ind w:left="0" w:right="0" w:hanging="0"/>
              <w:jc w:val="center"/>
              <w:rPr/>
            </w:pPr>
            <w:r>
              <w:rPr/>
              <w:t>0,01</w:t>
            </w:r>
          </w:p>
        </w:tc>
      </w:tr>
    </w:tbl>
    <w:p>
      <w:pPr>
        <w:pStyle w:val="Style25"/>
        <w:rPr/>
      </w:pPr>
      <w:r>
        <w:rPr/>
      </w:r>
      <w:bookmarkStart w:id="49" w:name="n248"/>
      <w:bookmarkStart w:id="50" w:name="n248"/>
      <w:bookmarkEnd w:id="50"/>
    </w:p>
    <w:p>
      <w:pPr>
        <w:pStyle w:val="Normal"/>
        <w:spacing w:before="0" w:after="0"/>
        <w:ind w:left="0" w:right="0" w:hanging="0"/>
        <w:rPr>
          <w:sz w:val="4"/>
          <w:szCs w:val="4"/>
        </w:rPr>
      </w:pPr>
      <w:r>
        <w:rPr>
          <w:sz w:val="4"/>
          <w:szCs w:val="4"/>
        </w:rPr>
      </w:r>
      <w:bookmarkStart w:id="51" w:name="n78"/>
      <w:bookmarkStart w:id="52" w:name="n78"/>
      <w:bookmarkEnd w:id="52"/>
    </w:p>
    <w:tbl>
      <w:tblPr>
        <w:tblW w:w="5000" w:type="pct"/>
        <w:jc w:val="left"/>
        <w:tblInd w:w="0" w:type="dxa"/>
        <w:tblLayout w:type="fixed"/>
        <w:tblCellMar>
          <w:top w:w="0" w:type="dxa"/>
          <w:left w:w="0" w:type="dxa"/>
          <w:bottom w:w="0" w:type="dxa"/>
          <w:right w:w="0" w:type="dxa"/>
        </w:tblCellMar>
      </w:tblPr>
      <w:tblGrid>
        <w:gridCol w:w="4479"/>
        <w:gridCol w:w="5158"/>
      </w:tblGrid>
      <w:tr>
        <w:trPr/>
        <w:tc>
          <w:tcPr>
            <w:tcW w:w="4479" w:type="dxa"/>
            <w:tcBorders/>
          </w:tcPr>
          <w:p>
            <w:pPr>
              <w:pStyle w:val="Style24"/>
              <w:widowControl w:val="false"/>
              <w:spacing w:before="150" w:after="150"/>
              <w:ind w:left="0" w:right="0" w:hanging="0"/>
              <w:jc w:val="left"/>
              <w:rPr/>
            </w:pPr>
            <w:r>
              <w:rPr/>
            </w:r>
          </w:p>
        </w:tc>
        <w:tc>
          <w:tcPr>
            <w:tcW w:w="5158" w:type="dxa"/>
            <w:tcBorders/>
          </w:tcPr>
          <w:p>
            <w:pPr>
              <w:pStyle w:val="Style24"/>
              <w:widowControl w:val="false"/>
              <w:spacing w:before="150" w:after="150"/>
              <w:ind w:left="0" w:right="0" w:hanging="0"/>
              <w:jc w:val="center"/>
              <w:rPr/>
            </w:pPr>
            <w:r>
              <w:rPr/>
              <w:t>Додаток 2</w:t>
              <w:br/>
              <w:t>до Методики</w:t>
            </w:r>
          </w:p>
        </w:tc>
      </w:tr>
    </w:tbl>
    <w:p>
      <w:pPr>
        <w:pStyle w:val="Style16"/>
        <w:widowControl/>
        <w:spacing w:before="150" w:after="150"/>
        <w:ind w:left="450" w:right="450" w:hanging="0"/>
        <w:jc w:val="center"/>
        <w:rPr/>
      </w:pPr>
      <w:bookmarkStart w:id="53" w:name="n79"/>
      <w:bookmarkEnd w:id="53"/>
      <w:r>
        <w:rPr>
          <w:b/>
          <w:i w:val="false"/>
          <w:caps w:val="false"/>
          <w:smallCaps w:val="false"/>
          <w:strike w:val="false"/>
          <w:dstrike w:val="false"/>
          <w:color w:val="333333"/>
          <w:spacing w:val="0"/>
          <w:sz w:val="28"/>
          <w:u w:val="none"/>
          <w:effect w:val="none"/>
        </w:rPr>
        <w:t>ОРЕНДНІ</w:t>
      </w:r>
      <w:r>
        <w:rPr>
          <w:b w:val="false"/>
          <w:i w:val="false"/>
          <w:caps w:val="false"/>
          <w:smallCaps w:val="false"/>
          <w:color w:val="333333"/>
          <w:spacing w:val="0"/>
          <w:sz w:val="24"/>
        </w:rPr>
        <w:br/>
      </w:r>
      <w:r>
        <w:rPr>
          <w:b/>
          <w:i w:val="false"/>
          <w:caps w:val="false"/>
          <w:smallCaps w:val="false"/>
          <w:strike w:val="false"/>
          <w:dstrike w:val="false"/>
          <w:color w:val="333333"/>
          <w:spacing w:val="0"/>
          <w:sz w:val="28"/>
          <w:u w:val="none"/>
          <w:effect w:val="none"/>
        </w:rPr>
        <w:t>ставки для договорів оренди, які продовжуються вперше</w:t>
      </w:r>
    </w:p>
    <w:p>
      <w:pPr>
        <w:pStyle w:val="Normal"/>
        <w:spacing w:before="0" w:after="0"/>
        <w:ind w:left="0" w:right="0" w:hanging="0"/>
        <w:rPr>
          <w:sz w:val="4"/>
          <w:szCs w:val="4"/>
        </w:rPr>
      </w:pPr>
      <w:r>
        <w:rPr>
          <w:sz w:val="4"/>
          <w:szCs w:val="4"/>
        </w:rPr>
      </w:r>
      <w:bookmarkStart w:id="54" w:name="n80"/>
      <w:bookmarkStart w:id="55" w:name="n80"/>
      <w:bookmarkEnd w:id="55"/>
    </w:p>
    <w:tbl>
      <w:tblPr>
        <w:tblW w:w="5000" w:type="pct"/>
        <w:jc w:val="left"/>
        <w:tblInd w:w="0" w:type="dxa"/>
        <w:tblLayout w:type="fixed"/>
        <w:tblCellMar>
          <w:top w:w="28" w:type="dxa"/>
          <w:left w:w="0" w:type="dxa"/>
          <w:bottom w:w="28" w:type="dxa"/>
          <w:right w:w="28" w:type="dxa"/>
        </w:tblCellMar>
      </w:tblPr>
      <w:tblGrid>
        <w:gridCol w:w="7425"/>
        <w:gridCol w:w="2212"/>
      </w:tblGrid>
      <w:tr>
        <w:trPr/>
        <w:tc>
          <w:tcPr>
            <w:tcW w:w="7425" w:type="dxa"/>
            <w:tcBorders>
              <w:top w:val="single" w:sz="4" w:space="0" w:color="000000"/>
              <w:bottom w:val="single" w:sz="4" w:space="0" w:color="000000"/>
              <w:right w:val="single" w:sz="4" w:space="0" w:color="000000"/>
            </w:tcBorders>
            <w:vAlign w:val="center"/>
          </w:tcPr>
          <w:p>
            <w:pPr>
              <w:pStyle w:val="Style24"/>
              <w:widowControl w:val="false"/>
              <w:spacing w:before="150" w:after="150"/>
              <w:ind w:left="0" w:right="0" w:hanging="0"/>
              <w:jc w:val="center"/>
              <w:rPr/>
            </w:pPr>
            <w:r>
              <w:rPr/>
              <w:t>Найменування</w:t>
            </w:r>
          </w:p>
        </w:tc>
        <w:tc>
          <w:tcPr>
            <w:tcW w:w="2212" w:type="dxa"/>
            <w:tcBorders>
              <w:top w:val="single" w:sz="4" w:space="0" w:color="000000"/>
              <w:left w:val="single" w:sz="4" w:space="0" w:color="000000"/>
              <w:bottom w:val="single" w:sz="4" w:space="0" w:color="000000"/>
            </w:tcBorders>
            <w:tcMar>
              <w:left w:w="28" w:type="dxa"/>
              <w:right w:w="0" w:type="dxa"/>
            </w:tcMar>
            <w:vAlign w:val="center"/>
          </w:tcPr>
          <w:p>
            <w:pPr>
              <w:pStyle w:val="Style24"/>
              <w:widowControl w:val="false"/>
              <w:spacing w:before="150" w:after="150"/>
              <w:ind w:left="0" w:right="0" w:hanging="0"/>
              <w:jc w:val="center"/>
              <w:rPr/>
            </w:pPr>
            <w:r>
              <w:rPr/>
              <w:t>Орендна ставка, відсотків</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1. Використання єдиних майнових комплексів державних підприємств, їх відокремлених структурних підрозділів для: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1) тютюнової промисловості, лікеро-горілчаної та виноробної промисловості, радгоспів заводів, що виробляють виноробну продукцію</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25</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2212" w:type="dxa"/>
            <w:tcBorders/>
            <w:tcMar>
              <w:top w:w="0" w:type="dxa"/>
              <w:bottom w:w="0" w:type="dxa"/>
              <w:right w:w="0" w:type="dxa"/>
            </w:tcMar>
          </w:tcPr>
          <w:p>
            <w:pPr>
              <w:pStyle w:val="Style24"/>
              <w:widowControl w:val="false"/>
              <w:suppressLineNumbers/>
              <w:spacing w:before="150" w:after="150"/>
              <w:ind w:left="0" w:right="-57" w:hanging="0"/>
              <w:jc w:val="center"/>
              <w:rPr/>
            </w:pPr>
            <w:r>
              <w:rPr/>
              <w:t>20</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16</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12</w:t>
            </w:r>
          </w:p>
        </w:tc>
      </w:tr>
      <w:tr>
        <w:trPr/>
        <w:tc>
          <w:tcPr>
            <w:tcW w:w="7425" w:type="dxa"/>
            <w:tcBorders/>
            <w:tcMar>
              <w:top w:w="0" w:type="dxa"/>
              <w:bottom w:w="0" w:type="dxa"/>
              <w:right w:w="0" w:type="dxa"/>
            </w:tcMar>
          </w:tcPr>
          <w:p>
            <w:pPr>
              <w:pStyle w:val="Style24"/>
              <w:widowControl w:val="false"/>
              <w:spacing w:before="93" w:after="93"/>
              <w:ind w:left="0" w:right="0" w:hanging="0"/>
              <w:jc w:val="left"/>
              <w:rPr/>
            </w:pPr>
            <w:r>
              <w:rPr/>
              <w:t>5) використання інших об’єктів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10</w:t>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2. Використання нерухомого майна за цільовим призначенням:</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1) розміщення казино, інших гральних закладів, гральних автоматів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100</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2) розміщення пунктів продажу лотерейних білетів, пунктів обміну валюти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45</w:t>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3)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40</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банкоматів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ресторанів з нічним режимом роботи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відділень банків, фінансових установ, ломбардів, бірж, брокерських, дилерських, маклерських, рієлторських контор (агентств нерухомості)</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торговельних об’єктів з продажу ювелірних виробів, виробів з дорогоцінних металів та дорогоцінного каміння, антикваріату, зброї</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4)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30</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виробників реклами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саун, турецьких лазень, соляріїв, кабінетів масажу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торговельних об’єктів з продажу автомобілів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зовнішньої реклами на будівлях і спорудах</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5) організація концертів та іншої видовищно-розважальної діяльності</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25</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6) розміщення суб’єктів господарювання, що провадять туроператорську та турагентську діяльність, готелів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22</w:t>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7)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20</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майстерень, що здійснюють технічне обслуговування та ремонт автомобілів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майстерень з ремонту ювелірних виробів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аптек у приміщеннях лікувально-профілактичних закладів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приватних закладів охорони здоров’я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господарювання, що діють на основі приватної власності і провадять господарську діяльність з медичної практики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торговельних об’єктів з продажу окулярів, лінз, скелець</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редакцій засобів масової інформації:</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 рекламного та еротичного характеру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 тих, що засновані в Україні міжнародними організаціями або за участю юридичних чи фізичних осіб інших держав, осіб без громадянства</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 тих, де понад 50 відсотків загального обсягу випуску становлять матеріали іноземних засобів масової інформації</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8)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18</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турбаз, мотелів, кемпінгів, літніх будиночків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торговельних об’єктів з продажу непродовольчих товарів, алкогольних та тютюнових виробів*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господарювання, що надають послуги, пов’язані з переказом грошей</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господарювання, що провадять діяльність у сфері права, бухгалтерського обліку та оподаткування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9)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15</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ресторанів, кафе, барів, закусочних, буфетів, кафетеріїв, що здійснюють продаж товарів підакцизної групи*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ветеринарних лікарень (клінік), лабораторій ветеринарної медицини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господарювання, що провадять діяльність з організації шлюбних знайомств та весіль</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складів, крамниць-складів, магазинів-складів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приватних архівних установ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камер схову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стоянок для автомобілів, паркінгів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господарювання, що провадять діяльність з вирощування квітів, грибів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10)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12</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господарювання, що провадять виробничу діяльність</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комп’ютерних клубів та інтернет-кафе</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аптек, ветеринарних аптек</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рибних господарств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шкіл, курсів з навчання водіїв автомобілів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господарювання, що здійснюють проектні, проектно-вишукувальні, проектно-конструкторські роботи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інформаційних агентств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виставок непродовольчих товарів без здійснення торгівлі</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кафе, барів, закусочних, кафетеріїв, їдалень, буфетів, які не здійснюють продаж товарів підакцизної групи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підприємницької діяльності, що надають освітні послуги погодинно (курси, тренінги, семінари тощо)</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торговельних об’єктів з продажу продовольчих товарів, крім товарів підакцизної групи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11)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10</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редакцій засобів масової інформації</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10</w:t>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13)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9</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закладів фізичної культури і спорту, крім тих, які наведені в абзацах восьмому та дев’ятому підпункту 18 цього пункту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підприємницької діяльності, що надають освітні послуги без отримання ліцензії</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господарювання, що здійснюють побутове обслуговування населення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громадських вбиралень</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виставок образотворчої та книжкової продукції, виробленої в Україні</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8</w:t>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15)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6</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об’єктів поштового зв’язку на площі, що використовується для надання послуг поштового зв’язку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суб’єктів господарювання, що надають послуги з перевезення та доставки (вручення) поштових відправлень</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кінотеатрів, бібліотек, театрів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16)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5</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торговельних об’єктів з продажу книг, газет і журналів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видавництв друкованих засобів масової інформації та видавничої продукції</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17) оренда майна:</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4</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shd w:fill="auto" w:val="clear"/>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w:t>
            </w:r>
            <w:r>
              <w:rPr>
                <w:color w:val="000000"/>
                <w:u w:val="none"/>
                <w:shd w:fill="auto" w:val="clear"/>
              </w:rPr>
              <w:t xml:space="preserve"> (у тому числі національними творчими спілками або їх членами під творчі майстерні) (крім орендарів, зазначених у пункті 11 цієї Методики)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державними видавництвами і підприємствами книгорозповсюдження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18)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3</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 xml:space="preserve">державних закладів освіти, що частково фінансуються з державного бюджету, які мають ліцензію на провадження освітньої діяльності у відповідній сфері </w:t>
            </w:r>
            <w:r>
              <w:rPr>
                <w:shd w:fill="auto" w:val="clear"/>
              </w:rPr>
              <w:t>(крім закла</w:t>
            </w:r>
            <w:r>
              <w:rPr/>
              <w:t>дів освіти і суб’єктів підприємницької діяльності, визначених в абзаці третьому підпункту 20 цього пункту)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 xml:space="preserve">державних органів та органів </w:t>
            </w:r>
            <w:r>
              <w:rPr>
                <w:shd w:fill="auto" w:val="clear"/>
              </w:rPr>
              <w:t>місцевого</w:t>
            </w:r>
            <w:r>
              <w:rPr/>
              <w:t xml:space="preserve"> самоврядування, інших установ і організацій, діяльність яких частково фінансується за рахунок державного або місцевих бюджетів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музеїв, крім тих, які повністю фінансуються з державного бюджету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w:t>
            </w:r>
            <w:r>
              <w:rPr>
                <w:color w:val="000000"/>
                <w:u w:val="none"/>
                <w:shd w:fill="auto" w:val="clear"/>
              </w:rPr>
              <w:t>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19)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2</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державних архівних установ, що частково фінансуються з державного бюджету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організацій, що надають послуги з нагляду за особами з психічними, інтелектуальними чи сенсорними порушеннями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114" w:after="114"/>
              <w:ind w:left="0" w:right="0" w:hanging="0"/>
              <w:jc w:val="left"/>
              <w:rPr/>
            </w:pPr>
            <w:r>
              <w:rPr/>
              <w:t>20) розміщення: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w:t>
            </w:r>
          </w:p>
        </w:tc>
      </w:tr>
      <w:tr>
        <w:trPr/>
        <w:tc>
          <w:tcPr>
            <w:tcW w:w="7425" w:type="dxa"/>
            <w:tcBorders/>
            <w:tcMar>
              <w:top w:w="0" w:type="dxa"/>
              <w:bottom w:w="0" w:type="dxa"/>
              <w:right w:w="0" w:type="dxa"/>
            </w:tcMar>
          </w:tcPr>
          <w:p>
            <w:pPr>
              <w:pStyle w:val="Style24"/>
              <w:widowControl w:val="false"/>
              <w:spacing w:before="36" w:after="36"/>
              <w:ind w:left="0" w:right="0" w:hanging="0"/>
              <w:jc w:val="left"/>
              <w:rPr>
                <w:color w:val="auto"/>
                <w:u w:val="none"/>
                <w:shd w:fill="auto" w:val="clear"/>
              </w:rPr>
            </w:pPr>
            <w:r>
              <w:rPr>
                <w:color w:val="000000"/>
                <w:u w:val="none"/>
                <w:shd w:fill="auto" w:val="clear"/>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color w:val="auto"/>
                <w:u w:val="none"/>
                <w:shd w:fill="auto" w:val="clear"/>
              </w:rPr>
            </w:pPr>
            <w:r>
              <w:rPr>
                <w:color w:val="000000"/>
                <w:u w:val="none"/>
                <w:shd w:fill="auto" w:val="clear"/>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22) розміщення Товариства Червоного Хреста України та його місцевих організацій</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4"/>
              <w:widowControl w:val="false"/>
              <w:spacing w:before="36" w:after="36"/>
              <w:ind w:left="0" w:right="0" w:hanging="0"/>
              <w:jc w:val="left"/>
              <w:rPr>
                <w:shd w:fill="auto" w:val="clear"/>
              </w:rPr>
            </w:pPr>
            <w:r>
              <w:rPr>
                <w:shd w:fill="auto" w:val="clear"/>
              </w:rPr>
              <w:t>23) оренда особами з інвалідністю з метою використання під гаражі для спеціальних засобів пересування</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25) оренда релігійними організаціями для забезпечення проведення релігійних обрядів та церемоній, які на момент введення в дію </w:t>
            </w:r>
            <w:hyperlink r:id="rId41" w:tgtFrame="_blank">
              <w:r>
                <w:rPr>
                  <w:b w:val="false"/>
                  <w:i w:val="false"/>
                  <w:caps w:val="false"/>
                  <w:smallCaps w:val="false"/>
                  <w:color w:val="000099"/>
                  <w:sz w:val="24"/>
                  <w:u w:val="single"/>
                  <w:shd w:fill="auto" w:val="clear"/>
                </w:rPr>
                <w:t>Закону України</w:t>
              </w:r>
            </w:hyperlink>
            <w:r>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4"/>
              <w:widowControl w:val="false"/>
              <w:spacing w:before="150" w:after="150"/>
              <w:ind w:left="0" w:right="0" w:hanging="0"/>
              <w:jc w:val="left"/>
              <w:rPr/>
            </w:pPr>
            <w:r>
              <w:rPr/>
              <w:t>26) розміщення транспортних підприємств з:</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перевезення пасажирів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15</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перевезення вантажів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18</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w:t>
            </w:r>
            <w:r>
              <w:rPr>
                <w:color w:val="000000"/>
                <w:u w:val="none"/>
                <w:shd w:fill="auto" w:val="clear"/>
              </w:rPr>
              <w:t>их обрядів та церемоній на площі, що не використовується для провадження підприємницької діяльності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площі не більш як 50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4</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частині площі, що перевищує 50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w:t>
            </w:r>
            <w:r>
              <w:rPr>
                <w:color w:val="000000"/>
                <w:u w:val="none"/>
                <w:shd w:fill="auto" w:val="clear"/>
              </w:rPr>
              <w:t>н Верховної Ради України, в такому разі застосовується</w:t>
            </w:r>
            <w:r>
              <w:fldChar w:fldCharType="begin"/>
            </w:r>
            <w:r>
              <w:rPr>
                <w:smallCaps w:val="false"/>
                <w:caps w:val="false"/>
                <w:u w:val="none"/>
                <w:shd w:fill="auto" w:val="clear"/>
                <w:color w:val="000000"/>
              </w:rPr>
              <w:instrText> HYPERLINK "https://zakon.rada.gov.ua/laws/show/630-2021-п" \l "n49"</w:instrText>
            </w:r>
            <w:r>
              <w:rPr>
                <w:smallCaps w:val="false"/>
                <w:caps w:val="false"/>
                <w:u w:val="none"/>
                <w:shd w:fill="auto" w:val="clear"/>
                <w:color w:val="000000"/>
              </w:rPr>
              <w:fldChar w:fldCharType="separate"/>
            </w:r>
            <w:r>
              <w:rPr>
                <w:caps w:val="false"/>
                <w:smallCaps w:val="false"/>
                <w:color w:val="000000"/>
                <w:u w:val="none"/>
                <w:shd w:fill="auto" w:val="clear"/>
              </w:rPr>
              <w:t> </w:t>
            </w:r>
            <w:r>
              <w:rPr>
                <w:smallCaps w:val="false"/>
                <w:caps w:val="false"/>
                <w:u w:val="none"/>
                <w:shd w:fill="auto" w:val="clear"/>
                <w:color w:val="000000"/>
              </w:rPr>
              <w:fldChar w:fldCharType="end"/>
            </w:r>
            <w:r>
              <w:rPr>
                <w:b w:val="false"/>
                <w:i w:val="false"/>
                <w:caps w:val="false"/>
                <w:smallCaps w:val="false"/>
                <w:color w:val="000000"/>
                <w:sz w:val="24"/>
                <w:u w:val="none"/>
                <w:shd w:fill="auto" w:val="clear"/>
              </w:rPr>
              <w:t>пункт 11</w:t>
            </w:r>
            <w:r>
              <w:rPr>
                <w:color w:val="000000"/>
                <w:u w:val="none"/>
                <w:shd w:fill="auto" w:val="clear"/>
              </w:rPr>
              <w:t> цієї Методики):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площі не більш як 50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3</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частині площі, що перевищує 50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29) розміщення громадських об’єднань осіб з інвалідністю на площі, що не використовується для провадж</w:t>
            </w:r>
            <w:r>
              <w:rPr>
                <w:color w:val="000000"/>
                <w:u w:val="none"/>
                <w:shd w:fill="auto" w:val="clear"/>
              </w:rPr>
              <w:t>ення підприємницької діяльності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площі не більш як 100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частині площі, що перевищує 100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30) оренда громадськими організаціями ветеранів для розміщення реабілітаційних установ для ветерані</w:t>
            </w:r>
            <w:r>
              <w:rPr>
                <w:color w:val="000000"/>
                <w:u w:val="none"/>
                <w:shd w:fill="auto" w:val="clear"/>
              </w:rPr>
              <w:t>в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площі не більш як 100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частині площі, що перевищує 100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площі не більш як 100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1</w:t>
            </w:r>
          </w:p>
        </w:tc>
      </w:tr>
      <w:tr>
        <w:trPr/>
        <w:tc>
          <w:tcPr>
            <w:tcW w:w="7425" w:type="dxa"/>
            <w:tcBorders/>
            <w:tcMar>
              <w:top w:w="0" w:type="dxa"/>
              <w:bottom w:w="0" w:type="dxa"/>
              <w:right w:w="0" w:type="dxa"/>
            </w:tcMar>
          </w:tcPr>
          <w:p>
            <w:pPr>
              <w:pStyle w:val="Style24"/>
              <w:widowControl w:val="false"/>
              <w:spacing w:before="36" w:after="36"/>
              <w:ind w:left="0" w:right="0" w:hanging="0"/>
              <w:jc w:val="left"/>
              <w:rPr/>
            </w:pPr>
            <w:r>
              <w:rPr/>
              <w:t>на частині площі, що перевищує 100 кв. метрів</w:t>
            </w:r>
          </w:p>
        </w:tc>
        <w:tc>
          <w:tcPr>
            <w:tcW w:w="2212" w:type="dxa"/>
            <w:tcBorders/>
            <w:tcMar>
              <w:top w:w="0" w:type="dxa"/>
              <w:bottom w:w="0" w:type="dxa"/>
              <w:right w:w="0" w:type="dxa"/>
            </w:tcMar>
          </w:tcPr>
          <w:p>
            <w:pPr>
              <w:pStyle w:val="Style24"/>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4"/>
              <w:widowControl w:val="false"/>
              <w:spacing w:before="150" w:after="150"/>
              <w:ind w:left="0" w:right="0" w:hanging="0"/>
              <w:jc w:val="left"/>
              <w:rPr>
                <w:shd w:fill="auto" w:val="clear"/>
              </w:rPr>
            </w:pPr>
            <w:r>
              <w:rPr>
                <w:shd w:fill="auto" w:val="clear"/>
              </w:rPr>
              <w:t>32) інше використання нерухомого майна</w:t>
            </w:r>
          </w:p>
        </w:tc>
        <w:tc>
          <w:tcPr>
            <w:tcW w:w="2212" w:type="dxa"/>
            <w:tcBorders/>
            <w:tcMar>
              <w:top w:w="0" w:type="dxa"/>
              <w:bottom w:w="0" w:type="dxa"/>
              <w:right w:w="0" w:type="dxa"/>
            </w:tcMar>
          </w:tcPr>
          <w:p>
            <w:pPr>
              <w:pStyle w:val="Style24"/>
              <w:widowControl w:val="false"/>
              <w:spacing w:before="150" w:after="150"/>
              <w:ind w:left="0" w:right="0" w:hanging="0"/>
              <w:jc w:val="center"/>
              <w:rPr>
                <w:shd w:fill="auto" w:val="clear"/>
              </w:rPr>
            </w:pPr>
            <w:r>
              <w:rPr>
                <w:shd w:fill="auto" w:val="clear"/>
              </w:rPr>
              <w:t>15</w:t>
            </w:r>
            <w:bookmarkStart w:id="56" w:name="n81"/>
            <w:bookmarkEnd w:id="56"/>
          </w:p>
        </w:tc>
      </w:tr>
    </w:tbl>
    <w:p>
      <w:pPr>
        <w:sectPr>
          <w:headerReference w:type="first" r:id="rId42"/>
          <w:type w:val="nextPage"/>
          <w:pgSz w:w="11906" w:h="16838"/>
          <w:pgMar w:left="1701" w:right="567" w:header="1134" w:top="1134" w:footer="0" w:bottom="1134" w:gutter="0"/>
          <w:pgNumType w:fmt="decimal"/>
          <w:formProt w:val="false"/>
          <w:titlePg/>
          <w:textDirection w:val="lrTb"/>
          <w:docGrid w:type="default" w:linePitch="360" w:charSpace="0"/>
        </w:sectPr>
        <w:pStyle w:val="Style16"/>
        <w:widowControl/>
        <w:spacing w:before="150" w:after="150"/>
        <w:ind w:left="0" w:right="0" w:hanging="0"/>
        <w:jc w:val="left"/>
        <w:rPr/>
      </w:pPr>
      <w:r>
        <w:rPr>
          <w:b w:val="false"/>
          <w:i w:val="false"/>
          <w:caps w:val="false"/>
          <w:smallCaps w:val="false"/>
          <w:color w:val="333333"/>
          <w:spacing w:val="0"/>
          <w:sz w:val="24"/>
        </w:rPr>
        <w:t>_________</w:t>
        <w:br/>
      </w:r>
      <w:r>
        <w:rPr>
          <w:b w:val="false"/>
          <w:i w:val="false"/>
          <w:caps w:val="false"/>
          <w:smallCaps w:val="false"/>
          <w:strike w:val="false"/>
          <w:dstrike w:val="false"/>
          <w:color w:val="333333"/>
          <w:spacing w:val="0"/>
          <w:sz w:val="20"/>
          <w:u w:val="none"/>
          <w:effect w:val="none"/>
        </w:rPr>
        <w:t>* Орендна ставка застосовується до всієї площі приміщення, в якому здійснюється продаж алкогольних та/або тютюнових виро</w:t>
      </w:r>
      <w:bookmarkStart w:id="57" w:name="n246"/>
      <w:bookmarkStart w:id="58" w:name="n83"/>
      <w:bookmarkEnd w:id="57"/>
      <w:bookmarkEnd w:id="58"/>
      <w:r>
        <w:rPr>
          <w:b w:val="false"/>
          <w:i w:val="false"/>
          <w:caps w:val="false"/>
          <w:smallCaps w:val="false"/>
          <w:strike w:val="false"/>
          <w:dstrike w:val="false"/>
          <w:color w:val="333333"/>
          <w:spacing w:val="0"/>
          <w:sz w:val="20"/>
          <w:u w:val="none"/>
          <w:effect w:val="none"/>
        </w:rPr>
        <w:t>бів.</w:t>
      </w:r>
    </w:p>
    <w:p>
      <w:pPr>
        <w:pStyle w:val="Normal"/>
        <w:keepNext w:val="true"/>
        <w:keepLines/>
        <w:spacing w:before="0" w:after="240"/>
        <w:ind w:left="3969" w:right="0" w:hanging="0"/>
        <w:jc w:val="center"/>
        <w:rPr>
          <w:rFonts w:ascii="Times New Roman" w:hAnsi="Times New Roman"/>
          <w:sz w:val="24"/>
          <w:szCs w:val="24"/>
          <w:lang w:val="uk-UA" w:eastAsia="zxx" w:bidi="zxx"/>
        </w:rPr>
      </w:pPr>
      <w:r>
        <w:rPr>
          <w:sz w:val="24"/>
          <w:szCs w:val="24"/>
          <w:lang w:val="uk-UA" w:eastAsia="zxx" w:bidi="zxx"/>
        </w:rPr>
        <w:t xml:space="preserve">Додаток 3 </w:t>
        <w:br/>
        <w:t>до Методики </w:t>
      </w:r>
    </w:p>
    <w:p>
      <w:pPr>
        <w:pStyle w:val="Normal"/>
        <w:keepNext w:val="true"/>
        <w:numPr>
          <w:ilvl w:val="0"/>
          <w:numId w:val="0"/>
        </w:numPr>
        <w:ind w:left="567" w:right="0" w:hanging="0"/>
        <w:jc w:val="right"/>
        <w:outlineLvl w:val="2"/>
        <w:rPr>
          <w:rFonts w:ascii="Times New Roman" w:hAnsi="Times New Roman"/>
          <w:b/>
          <w:b/>
          <w:i/>
          <w:i/>
          <w:sz w:val="24"/>
          <w:szCs w:val="24"/>
          <w:lang w:val="uk-UA" w:eastAsia="zxx" w:bidi="zxx"/>
        </w:rPr>
      </w:pPr>
      <w:r>
        <w:rPr>
          <w:b/>
          <w:i/>
          <w:sz w:val="24"/>
          <w:szCs w:val="24"/>
          <w:lang w:val="uk-UA" w:eastAsia="zxx" w:bidi="zxx"/>
        </w:rPr>
      </w:r>
    </w:p>
    <w:p>
      <w:pPr>
        <w:pStyle w:val="Normal"/>
        <w:keepNext w:val="true"/>
        <w:keepLines/>
        <w:spacing w:before="0" w:after="240"/>
        <w:ind w:left="3969" w:right="0" w:hanging="0"/>
        <w:jc w:val="center"/>
        <w:rPr>
          <w:rFonts w:ascii="Times New Roman" w:hAnsi="Times New Roman"/>
          <w:sz w:val="24"/>
          <w:szCs w:val="24"/>
          <w:lang w:val="uk-UA" w:eastAsia="zxx" w:bidi="zxx"/>
        </w:rPr>
      </w:pPr>
      <w:r>
        <w:rPr>
          <w:sz w:val="24"/>
          <w:szCs w:val="24"/>
          <w:lang w:val="uk-UA" w:eastAsia="zxx" w:bidi="zxx"/>
        </w:rPr>
        <w:t>ЗАТВЕРДЖЕНО</w:t>
        <w:br/>
        <w:t xml:space="preserve">Уповноважена особа </w:t>
      </w:r>
      <w:r>
        <w:rPr>
          <w:rFonts w:eastAsia="Andale Sans UI;Arial Unicode MS" w:cs="Tahoma"/>
          <w:color w:val="auto"/>
          <w:kern w:val="2"/>
          <w:sz w:val="24"/>
          <w:szCs w:val="24"/>
          <w:lang w:val="uk-UA" w:eastAsia="zxx" w:bidi="zxx"/>
        </w:rPr>
        <w:t>балансоутримувача</w:t>
      </w:r>
      <w:r>
        <w:rPr>
          <w:sz w:val="24"/>
          <w:szCs w:val="24"/>
          <w:lang w:val="uk-UA" w:eastAsia="zxx" w:bidi="zxx"/>
        </w:rPr>
        <w:br/>
        <w:t>__________________________</w:t>
      </w:r>
    </w:p>
    <w:p>
      <w:pPr>
        <w:pStyle w:val="Normal"/>
        <w:keepNext w:val="true"/>
        <w:keepLines/>
        <w:spacing w:before="0" w:after="240"/>
        <w:ind w:left="3969" w:right="0" w:hanging="0"/>
        <w:jc w:val="center"/>
        <w:rPr>
          <w:rFonts w:ascii="Times New Roman" w:hAnsi="Times New Roman"/>
          <w:sz w:val="24"/>
          <w:szCs w:val="24"/>
          <w:lang w:val="uk-UA" w:eastAsia="zxx" w:bidi="zxx"/>
        </w:rPr>
      </w:pPr>
      <w:r>
        <w:rPr>
          <w:sz w:val="24"/>
          <w:szCs w:val="24"/>
          <w:lang w:val="uk-UA" w:eastAsia="zxx" w:bidi="zxx"/>
        </w:rPr>
        <w:t>___ ____________ 20__ року</w:t>
      </w:r>
    </w:p>
    <w:p>
      <w:pPr>
        <w:pStyle w:val="Normal"/>
        <w:keepNext w:val="true"/>
        <w:keepLines/>
        <w:spacing w:before="0" w:after="240"/>
        <w:ind w:left="3969" w:right="0" w:hanging="0"/>
        <w:jc w:val="center"/>
        <w:rPr>
          <w:rFonts w:ascii="Times New Roman" w:hAnsi="Times New Roman"/>
          <w:sz w:val="24"/>
          <w:szCs w:val="24"/>
          <w:lang w:val="uk-UA" w:eastAsia="zxx" w:bidi="zxx"/>
        </w:rPr>
      </w:pPr>
      <w:r>
        <w:rPr>
          <w:sz w:val="24"/>
          <w:szCs w:val="24"/>
          <w:lang w:val="uk-UA" w:eastAsia="zxx" w:bidi="zxx"/>
        </w:rPr>
        <w:t>МП (у разі наявності)</w:t>
      </w:r>
    </w:p>
    <w:p>
      <w:pPr>
        <w:pStyle w:val="Normal"/>
        <w:keepNext w:val="true"/>
        <w:keepLines/>
        <w:spacing w:before="240" w:after="240"/>
        <w:jc w:val="center"/>
        <w:rPr>
          <w:rFonts w:ascii="Times New Roman" w:hAnsi="Times New Roman"/>
          <w:b/>
          <w:b/>
          <w:sz w:val="28"/>
          <w:szCs w:val="28"/>
          <w:lang w:val="uk-UA" w:eastAsia="zxx" w:bidi="zxx"/>
        </w:rPr>
      </w:pPr>
      <w:r>
        <w:rPr>
          <w:b/>
          <w:sz w:val="28"/>
          <w:szCs w:val="28"/>
          <w:lang w:val="uk-UA" w:eastAsia="zxx" w:bidi="zxx"/>
        </w:rPr>
        <w:t>РОЗРАХУНОК</w:t>
        <w:br/>
        <w:t>орендної плати за базовий місяць</w:t>
      </w:r>
    </w:p>
    <w:p>
      <w:pPr>
        <w:pStyle w:val="Normal"/>
        <w:jc w:val="center"/>
        <w:rPr>
          <w:lang w:val="uk-UA" w:eastAsia="zxx" w:bidi="zxx"/>
        </w:rPr>
      </w:pPr>
      <w:r>
        <w:rPr>
          <w:sz w:val="24"/>
          <w:szCs w:val="24"/>
          <w:lang w:val="uk-UA" w:eastAsia="zxx" w:bidi="zxx"/>
        </w:rPr>
        <w:t>Майно перебуває на балансі</w:t>
      </w:r>
      <w:r>
        <w:rPr>
          <w:sz w:val="28"/>
          <w:szCs w:val="28"/>
          <w:lang w:val="uk-UA" w:eastAsia="zxx" w:bidi="zxx"/>
        </w:rPr>
        <w:t xml:space="preserve"> ____________________________________________________</w:t>
        <w:br/>
        <w:t xml:space="preserve"> </w:t>
      </w:r>
      <w:r>
        <w:rPr>
          <w:sz w:val="20"/>
          <w:lang w:val="uk-UA" w:eastAsia="zxx" w:bidi="zxx"/>
        </w:rPr>
        <w:t>(найменування балансоутримувача)</w:t>
      </w:r>
    </w:p>
    <w:p>
      <w:pPr>
        <w:pStyle w:val="Normal"/>
        <w:rPr>
          <w:lang w:val="uk-UA" w:eastAsia="zxx" w:bidi="zxx"/>
        </w:rPr>
      </w:pPr>
      <w:r>
        <w:rPr>
          <w:lang w:val="uk-UA" w:eastAsia="zxx" w:bidi="zxx"/>
        </w:rPr>
      </w:r>
    </w:p>
    <w:tbl>
      <w:tblPr>
        <w:tblW w:w="9641" w:type="dxa"/>
        <w:jc w:val="left"/>
        <w:tblInd w:w="0" w:type="dxa"/>
        <w:tblLayout w:type="fixed"/>
        <w:tblCellMar>
          <w:top w:w="0" w:type="dxa"/>
          <w:left w:w="108" w:type="dxa"/>
          <w:bottom w:w="0" w:type="dxa"/>
          <w:right w:w="108" w:type="dxa"/>
        </w:tblCellMar>
      </w:tblPr>
      <w:tblGrid>
        <w:gridCol w:w="1127"/>
        <w:gridCol w:w="1764"/>
        <w:gridCol w:w="1125"/>
        <w:gridCol w:w="2160"/>
        <w:gridCol w:w="1132"/>
        <w:gridCol w:w="914"/>
        <w:gridCol w:w="1418"/>
      </w:tblGrid>
      <w:tr>
        <w:trPr/>
        <w:tc>
          <w:tcPr>
            <w:tcW w:w="1127" w:type="dxa"/>
            <w:vMerge w:val="restart"/>
            <w:tcBorders>
              <w:top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 xml:space="preserve">Порядковий номер </w:t>
            </w:r>
          </w:p>
        </w:tc>
        <w:tc>
          <w:tcPr>
            <w:tcW w:w="17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Назва та місцезнаходження об’єкта оренди</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Площа об’єкта оренди, кв. метрів</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Вартість об’єкта оренди за незалежною оцінкою на</w:t>
              <w:br/>
              <w:t>__________20___року</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Орендна ставка*, відсотків</w:t>
            </w:r>
          </w:p>
        </w:tc>
        <w:tc>
          <w:tcPr>
            <w:tcW w:w="2332" w:type="dxa"/>
            <w:gridSpan w:val="2"/>
            <w:tcBorders>
              <w:top w:val="single" w:sz="4" w:space="0" w:color="000000"/>
              <w:left w:val="single" w:sz="4" w:space="0" w:color="000000"/>
              <w:bottom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Орендна плата за базовий місяць</w:t>
            </w:r>
          </w:p>
        </w:tc>
      </w:tr>
      <w:tr>
        <w:trPr/>
        <w:tc>
          <w:tcPr>
            <w:tcW w:w="1127" w:type="dxa"/>
            <w:vMerge w:val="continue"/>
            <w:tcBorders>
              <w:top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17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1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21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11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назва місяця, рік</w:t>
            </w:r>
          </w:p>
        </w:tc>
        <w:tc>
          <w:tcPr>
            <w:tcW w:w="1418" w:type="dxa"/>
            <w:tcBorders>
              <w:top w:val="single" w:sz="4" w:space="0" w:color="000000"/>
              <w:left w:val="single" w:sz="4" w:space="0" w:color="000000"/>
              <w:bottom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орендна плата без урахування податку на додану вартість**, гривень</w:t>
            </w:r>
          </w:p>
        </w:tc>
      </w:tr>
    </w:tbl>
    <w:p>
      <w:pPr>
        <w:pStyle w:val="Normal"/>
        <w:jc w:val="both"/>
        <w:rPr>
          <w:lang w:val="uk-UA" w:eastAsia="zxx" w:bidi="zxx"/>
        </w:rPr>
      </w:pPr>
      <w:r>
        <w:rPr>
          <w:lang w:val="uk-UA" w:eastAsia="zxx" w:bidi="zxx"/>
        </w:rPr>
      </w:r>
    </w:p>
    <w:p>
      <w:pPr>
        <w:pStyle w:val="Normal"/>
        <w:jc w:val="both"/>
        <w:rPr>
          <w:lang w:val="uk-UA" w:eastAsia="zxx" w:bidi="zxx"/>
        </w:rPr>
      </w:pPr>
      <w:r>
        <w:rPr>
          <w:sz w:val="20"/>
          <w:szCs w:val="20"/>
          <w:lang w:val="uk-UA" w:eastAsia="zxx" w:bidi="zxx"/>
        </w:rPr>
        <w:t>________</w:t>
        <w:br/>
        <w:t xml:space="preserve">* Орендна ставка визначається на підставі цільового призначення згідно із додатками 1 або 2 до Методики розрахунку орендної плати за державне майно, затвердженої постановою Кабінету Міністрів України від 28 квітня 2021 р. № 630. </w:t>
      </w:r>
    </w:p>
    <w:p>
      <w:pPr>
        <w:pStyle w:val="Normal"/>
        <w:spacing w:before="120" w:after="160"/>
        <w:jc w:val="both"/>
        <w:rPr>
          <w:rFonts w:ascii="Times New Roman" w:hAnsi="Times New Roman"/>
          <w:color w:val="000000"/>
          <w:sz w:val="20"/>
          <w:szCs w:val="20"/>
          <w:lang w:val="uk-UA" w:eastAsia="zxx" w:bidi="zxx"/>
        </w:rPr>
      </w:pPr>
      <w:r>
        <w:rPr>
          <w:color w:val="000000"/>
          <w:sz w:val="20"/>
          <w:szCs w:val="20"/>
          <w:lang w:val="uk-UA" w:eastAsia="zxx" w:bidi="zxx"/>
        </w:rPr>
        <w:t>** Оподаткування орендної плати здійснюється відповідно до вимог законодавства.</w:t>
      </w:r>
    </w:p>
    <w:p>
      <w:pPr>
        <w:pStyle w:val="Normal"/>
        <w:jc w:val="both"/>
        <w:rPr>
          <w:color w:val="000000"/>
          <w:lang w:val="uk-UA" w:eastAsia="zxx" w:bidi="zxx"/>
        </w:rPr>
      </w:pPr>
      <w:r>
        <w:rPr>
          <w:color w:val="000000"/>
          <w:lang w:val="uk-UA" w:eastAsia="zxx" w:bidi="zxx"/>
        </w:rPr>
      </w:r>
    </w:p>
    <w:p>
      <w:pPr>
        <w:pStyle w:val="Normal"/>
        <w:jc w:val="both"/>
        <w:rPr>
          <w:color w:val="000000"/>
          <w:lang w:val="uk-UA" w:eastAsia="zxx" w:bidi="zxx"/>
        </w:rPr>
      </w:pPr>
      <w:r>
        <w:rPr>
          <w:color w:val="000000"/>
          <w:lang w:val="uk-UA" w:eastAsia="zxx" w:bidi="zxx"/>
        </w:rPr>
      </w:r>
    </w:p>
    <w:tbl>
      <w:tblPr>
        <w:tblW w:w="9585" w:type="dxa"/>
        <w:jc w:val="left"/>
        <w:tblInd w:w="0" w:type="dxa"/>
        <w:tblLayout w:type="fixed"/>
        <w:tblCellMar>
          <w:top w:w="0" w:type="dxa"/>
          <w:left w:w="108" w:type="dxa"/>
          <w:bottom w:w="0" w:type="dxa"/>
          <w:right w:w="108" w:type="dxa"/>
        </w:tblCellMar>
      </w:tblPr>
      <w:tblGrid>
        <w:gridCol w:w="3164"/>
        <w:gridCol w:w="2587"/>
        <w:gridCol w:w="3834"/>
      </w:tblGrid>
      <w:tr>
        <w:trPr/>
        <w:tc>
          <w:tcPr>
            <w:tcW w:w="3164" w:type="dxa"/>
            <w:tcBorders/>
          </w:tcPr>
          <w:p>
            <w:pPr>
              <w:pStyle w:val="Normal"/>
              <w:widowControl w:val="false"/>
              <w:spacing w:before="120" w:after="160"/>
              <w:rPr>
                <w:rFonts w:ascii="Times New Roman" w:hAnsi="Times New Roman"/>
                <w:sz w:val="24"/>
                <w:szCs w:val="24"/>
                <w:lang w:val="uk-UA" w:eastAsia="zxx" w:bidi="zxx"/>
              </w:rPr>
            </w:pPr>
            <w:r>
              <w:rPr>
                <w:sz w:val="24"/>
                <w:szCs w:val="24"/>
                <w:lang w:val="uk-UA" w:eastAsia="zxx" w:bidi="zxx"/>
              </w:rPr>
              <w:t>Уповноваж</w:t>
            </w:r>
            <w:r>
              <w:rPr>
                <w:sz w:val="24"/>
                <w:szCs w:val="24"/>
                <w:shd w:fill="auto" w:val="clear"/>
                <w:lang w:val="uk-UA" w:eastAsia="zxx" w:bidi="zxx"/>
              </w:rPr>
              <w:t xml:space="preserve">ена особа </w:t>
            </w:r>
            <w:r>
              <w:rPr>
                <w:rFonts w:eastAsia="Andale Sans UI;Arial Unicode MS" w:cs="Tahoma"/>
                <w:color w:val="000000"/>
                <w:kern w:val="2"/>
                <w:sz w:val="24"/>
                <w:szCs w:val="24"/>
                <w:shd w:fill="auto" w:val="clear"/>
                <w:lang w:val="uk-UA" w:eastAsia="zxx" w:bidi="zxx"/>
              </w:rPr>
              <w:t>балансоутримувача</w:t>
            </w:r>
          </w:p>
        </w:tc>
        <w:tc>
          <w:tcPr>
            <w:tcW w:w="2587" w:type="dxa"/>
            <w:tcBorders/>
          </w:tcPr>
          <w:p>
            <w:pPr>
              <w:pStyle w:val="Normal"/>
              <w:widowControl w:val="false"/>
              <w:spacing w:before="120" w:after="160"/>
              <w:jc w:val="center"/>
              <w:rPr>
                <w:rFonts w:ascii="Times New Roman" w:hAnsi="Times New Roman"/>
                <w:lang w:val="uk-UA" w:eastAsia="zxx" w:bidi="zxx"/>
              </w:rPr>
            </w:pPr>
            <w:r>
              <w:rPr>
                <w:sz w:val="24"/>
                <w:szCs w:val="24"/>
                <w:lang w:val="uk-UA" w:eastAsia="zxx" w:bidi="zxx"/>
              </w:rPr>
              <w:t>___________</w:t>
              <w:br/>
            </w:r>
            <w:r>
              <w:rPr>
                <w:sz w:val="20"/>
                <w:szCs w:val="20"/>
                <w:lang w:val="uk-UA" w:eastAsia="zxx" w:bidi="zxx"/>
              </w:rPr>
              <w:t>(підпис)</w:t>
            </w:r>
          </w:p>
        </w:tc>
        <w:tc>
          <w:tcPr>
            <w:tcW w:w="3834" w:type="dxa"/>
            <w:tcBorders/>
          </w:tcPr>
          <w:p>
            <w:pPr>
              <w:pStyle w:val="Normal"/>
              <w:widowControl w:val="false"/>
              <w:spacing w:before="120" w:after="160"/>
              <w:jc w:val="center"/>
              <w:rPr>
                <w:rFonts w:ascii="Times New Roman" w:hAnsi="Times New Roman"/>
                <w:lang w:val="uk-UA" w:eastAsia="zxx" w:bidi="zxx"/>
              </w:rPr>
            </w:pPr>
            <w:r>
              <w:rPr>
                <w:sz w:val="24"/>
                <w:szCs w:val="24"/>
                <w:lang w:val="uk-UA" w:eastAsia="zxx" w:bidi="zxx"/>
              </w:rPr>
              <w:t>____________</w:t>
            </w:r>
            <w:bookmarkStart w:id="59" w:name="_GoBack"/>
            <w:bookmarkEnd w:id="59"/>
            <w:r>
              <w:rPr>
                <w:sz w:val="24"/>
                <w:szCs w:val="24"/>
                <w:lang w:val="uk-UA" w:eastAsia="zxx" w:bidi="zxx"/>
              </w:rPr>
              <w:t>__________________</w:t>
              <w:br/>
            </w:r>
            <w:r>
              <w:rPr>
                <w:sz w:val="20"/>
                <w:szCs w:val="20"/>
                <w:lang w:val="uk-UA" w:eastAsia="zxx" w:bidi="zxx"/>
              </w:rPr>
              <w:t>(прізвище, ім’я, по батькові за наявності)</w:t>
            </w:r>
          </w:p>
        </w:tc>
      </w:tr>
      <w:tr>
        <w:trPr/>
        <w:tc>
          <w:tcPr>
            <w:tcW w:w="3164" w:type="dxa"/>
            <w:tcBorders/>
          </w:tcPr>
          <w:p>
            <w:pPr>
              <w:pStyle w:val="Normal"/>
              <w:widowControl w:val="false"/>
              <w:spacing w:before="120" w:after="160"/>
              <w:rPr>
                <w:rFonts w:ascii="Times New Roman" w:hAnsi="Times New Roman"/>
                <w:sz w:val="24"/>
                <w:szCs w:val="24"/>
                <w:lang w:val="uk-UA" w:eastAsia="zxx" w:bidi="zxx"/>
              </w:rPr>
            </w:pPr>
            <w:r>
              <w:rPr>
                <w:sz w:val="24"/>
                <w:szCs w:val="24"/>
                <w:lang w:val="uk-UA" w:eastAsia="zxx" w:bidi="zxx"/>
              </w:rPr>
              <w:t>МП (у разі наявності)</w:t>
            </w:r>
          </w:p>
        </w:tc>
        <w:tc>
          <w:tcPr>
            <w:tcW w:w="2587" w:type="dxa"/>
            <w:tcBorders/>
          </w:tcPr>
          <w:p>
            <w:pPr>
              <w:pStyle w:val="Normal"/>
              <w:widowControl w:val="false"/>
              <w:spacing w:before="120" w:after="160"/>
              <w:rPr>
                <w:rFonts w:ascii="Times New Roman" w:hAnsi="Times New Roman"/>
                <w:sz w:val="24"/>
                <w:szCs w:val="24"/>
                <w:lang w:val="uk-UA" w:eastAsia="zxx" w:bidi="zxx"/>
              </w:rPr>
            </w:pPr>
            <w:r>
              <w:rPr>
                <w:sz w:val="24"/>
                <w:szCs w:val="24"/>
                <w:lang w:val="uk-UA" w:eastAsia="zxx" w:bidi="zxx"/>
              </w:rPr>
            </w:r>
          </w:p>
        </w:tc>
        <w:tc>
          <w:tcPr>
            <w:tcW w:w="3834" w:type="dxa"/>
            <w:tcBorders/>
          </w:tcPr>
          <w:p>
            <w:pPr>
              <w:pStyle w:val="Normal"/>
              <w:widowControl w:val="false"/>
              <w:spacing w:before="120" w:after="160"/>
              <w:rPr>
                <w:rFonts w:ascii="Times New Roman" w:hAnsi="Times New Roman"/>
                <w:sz w:val="24"/>
                <w:szCs w:val="24"/>
                <w:lang w:val="uk-UA" w:eastAsia="zxx" w:bidi="zxx"/>
              </w:rPr>
            </w:pPr>
            <w:r>
              <w:rPr>
                <w:sz w:val="24"/>
                <w:szCs w:val="24"/>
                <w:lang w:val="uk-UA" w:eastAsia="zxx" w:bidi="zxx"/>
              </w:rPr>
            </w:r>
          </w:p>
        </w:tc>
      </w:tr>
    </w:tbl>
    <w:p>
      <w:pPr>
        <w:pStyle w:val="Style16"/>
        <w:spacing w:lineRule="auto" w:line="240" w:before="0" w:after="0"/>
        <w:ind w:left="450" w:right="450" w:hanging="0"/>
        <w:jc w:val="both"/>
        <w:rPr>
          <w:b w:val="false"/>
          <w:b w:val="false"/>
          <w:bCs w:val="false"/>
        </w:rPr>
      </w:pPr>
      <w:bookmarkStart w:id="60" w:name="n247"/>
      <w:bookmarkEnd w:id="60"/>
      <w:r>
        <w:rPr>
          <w:b w:val="false"/>
          <w:bCs w:val="false"/>
        </w:rPr>
        <w:br/>
      </w:r>
    </w:p>
    <w:p>
      <w:pPr>
        <w:pStyle w:val="Normal"/>
        <w:spacing w:lineRule="auto" w:line="240" w:before="0" w:after="0"/>
        <w:jc w:val="center"/>
        <w:rPr>
          <w:b w:val="false"/>
          <w:b w:val="false"/>
          <w:bCs w:val="false"/>
        </w:rPr>
      </w:pPr>
      <w:r>
        <w:rPr>
          <w:b w:val="false"/>
          <w:bCs w:val="false"/>
        </w:rPr>
        <w:t>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cs="Times New Roman"/>
          <w:b w:val="false"/>
          <w:b w:val="false"/>
          <w:bCs w:val="false"/>
          <w:sz w:val="24"/>
          <w:szCs w:val="24"/>
          <w:shd w:fill="auto" w:val="clear"/>
          <w:lang w:val="uk-UA"/>
        </w:rPr>
      </w:pPr>
      <w:r>
        <w:rPr>
          <w:rFonts w:cs="Times New Roman"/>
          <w:b w:val="false"/>
          <w:bCs w:val="false"/>
          <w:sz w:val="24"/>
          <w:szCs w:val="24"/>
          <w:shd w:fill="auto" w:val="clear"/>
          <w:lang w:val="uk-UA"/>
        </w:rPr>
        <w:t>Начальник відділу економіки</w:t>
        <w:tab/>
        <w:tab/>
        <w:tab/>
        <w:tab/>
        <w:tab/>
        <w:tab/>
        <w:tab/>
        <w:t>Т.В. Сідашова</w:t>
      </w:r>
    </w:p>
    <w:sectPr>
      <w:headerReference w:type="default" r:id="rId43"/>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bidi w:val="0"/>
      <w:spacing w:before="0" w:after="0"/>
      <w:jc w:val="center"/>
      <w:rPr/>
    </w:pPr>
    <w:r>
      <w:rPr>
        <w:lang w:val="uk-UA"/>
      </w:rPr>
      <w:t xml:space="preserve">                                                                                                            </w:t>
    </w:r>
    <w:r>
      <w:rPr>
        <w:b/>
        <w:bCs/>
        <w:lang w:val="uk-UA"/>
      </w:rPr>
      <w:t xml:space="preserve">                                    </w:t>
    </w:r>
  </w:p>
  <w:p>
    <w:pPr>
      <w:pStyle w:val="Style16"/>
      <w:bidi w:val="0"/>
      <w:spacing w:before="0" w:after="0"/>
      <w:jc w:val="center"/>
      <w:rPr>
        <w:rFonts w:cs="Times New Roman"/>
        <w:b/>
        <w:b/>
        <w:bCs/>
        <w:sz w:val="28"/>
        <w:szCs w:val="28"/>
        <w:lang w:val="uk-UA"/>
      </w:rPr>
    </w:pPr>
    <w:r>
      <w:rPr>
        <w:rFonts w:cs="Times New Roman"/>
        <w:b/>
        <w:bCs/>
        <w:sz w:val="28"/>
        <w:szCs w:val="28"/>
        <w:lang w:val="uk-UA"/>
      </w:rPr>
      <w:t>ПОКРОВСЬКА МІСЬКА РАДА</w:t>
    </w:r>
  </w:p>
  <w:p>
    <w:pPr>
      <w:pStyle w:val="Style16"/>
      <w:bidi w:val="0"/>
      <w:spacing w:before="0" w:after="0"/>
      <w:jc w:val="center"/>
      <w:rPr>
        <w:rFonts w:cs="Times New Roman"/>
        <w:b/>
        <w:b/>
        <w:bCs/>
        <w:sz w:val="28"/>
        <w:szCs w:val="28"/>
        <w:lang w:val="uk-UA"/>
      </w:rPr>
    </w:pPr>
    <w:r>
      <w:rPr>
        <w:rFonts w:cs="Times New Roman"/>
        <w:b/>
        <w:bCs/>
        <w:sz w:val="28"/>
        <w:szCs w:val="28"/>
        <w:lang w:val="uk-UA"/>
      </w:rPr>
      <w:t>ДНІПРОПЕТРОВСЬКОЇ ОБЛАСТІ</w:t>
    </w:r>
  </w:p>
  <w:p>
    <w:pPr>
      <w:pStyle w:val="Style16"/>
      <w:bidi w:val="0"/>
      <w:spacing w:before="0" w:after="0"/>
      <w:jc w:val="center"/>
      <w:rPr/>
    </w:pPr>
    <w:r>
      <w:rPr/>
    </w:r>
  </w:p>
  <w:p>
    <w:pPr>
      <w:pStyle w:val="Style16"/>
      <w:bidi w:val="0"/>
      <w:spacing w:before="0" w:after="0"/>
      <w:jc w:val="center"/>
      <w:rPr>
        <w:rFonts w:cs="Times New Roman"/>
        <w:b/>
        <w:b/>
        <w:sz w:val="28"/>
        <w:szCs w:val="28"/>
        <w:lang w:val="uk-UA"/>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ind w:left="0" w:right="0" w:hanging="0"/>
      <w:jc w:val="both"/>
      <w:rPr/>
    </w:pPr>
    <w:r>
      <w:rPr>
        <w:sz w:val="28"/>
        <w:szCs w:val="28"/>
      </w:rPr>
      <w:t xml:space="preserve">                                              </w:t>
    </w:r>
    <w:r>
      <w:rPr>
        <w:sz w:val="28"/>
        <w:szCs w:val="28"/>
        <w:shd w:fill="auto" w:val="clear"/>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character" w:styleId="Style13">
    <w:name w:val="Интернет-ссылка"/>
    <w:rPr>
      <w:color w:val="000080"/>
      <w:u w:val="single"/>
      <w:lang w:val="zxx" w:eastAsia="zxx" w:bidi="zxx"/>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Arial" w:hAnsi="Arial" w:eastAsia="Andale Sans UI;Arial Unicode MS"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Lohit Devanagari"/>
    </w:rPr>
  </w:style>
  <w:style w:type="paragraph" w:styleId="Style20">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21">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2">
    <w:name w:val="Верхний и нижний колонтитулы"/>
    <w:basedOn w:val="Normal"/>
    <w:qFormat/>
    <w:pPr/>
    <w:rPr/>
  </w:style>
  <w:style w:type="paragraph" w:styleId="Style23">
    <w:name w:val="Header"/>
    <w:basedOn w:val="Normal"/>
    <w:pPr>
      <w:suppressLineNumbers/>
      <w:tabs>
        <w:tab w:val="clear" w:pos="706"/>
        <w:tab w:val="center" w:pos="4819" w:leader="none"/>
        <w:tab w:val="right" w:pos="9638" w:leader="none"/>
      </w:tabs>
    </w:pPr>
    <w:rPr/>
  </w:style>
  <w:style w:type="paragraph" w:styleId="Style24">
    <w:name w:val="Содержимое таблицы"/>
    <w:basedOn w:val="Normal"/>
    <w:qFormat/>
    <w:pPr>
      <w:widowControl w:val="false"/>
      <w:suppressLineNumbers/>
    </w:pPr>
    <w:rPr/>
  </w:style>
  <w:style w:type="paragraph" w:styleId="Style25">
    <w:name w:val="Горизонтальная линия"/>
    <w:basedOn w:val="Normal"/>
    <w:next w:val="Style16"/>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56;&#1110;&#1096;&#1077;&#1085;&#1085;&#1103;%20&#1057;&#1077;&#1089;&#1110;&#1111;/_blank" TargetMode="External"/><Relationship Id="rId3" Type="http://schemas.openxmlformats.org/officeDocument/2006/relationships/image" Target="media/image1.gif"/><Relationship Id="rId4" Type="http://schemas.openxmlformats.org/officeDocument/2006/relationships/hyperlink" Target="https://zakon.rada.gov.ua/laws/file/imgs/90/p506691n226.bmp" TargetMode="External"/><Relationship Id="rId5" Type="http://schemas.openxmlformats.org/officeDocument/2006/relationships/image" Target="media/image2.gif"/><Relationship Id="rId6" Type="http://schemas.openxmlformats.org/officeDocument/2006/relationships/hyperlink" Target="https://zakon.rada.gov.ua/laws/file/imgs/90/p506691n228-1.emf" TargetMode="External"/><Relationship Id="rId7" Type="http://schemas.openxmlformats.org/officeDocument/2006/relationships/image" Target="media/image3.gif"/><Relationship Id="rId8" Type="http://schemas.openxmlformats.org/officeDocument/2006/relationships/hyperlink" Target="https://zakon.rada.gov.ua/laws/file/imgs/90/p506691n228-2.emf" TargetMode="External"/><Relationship Id="rId9" Type="http://schemas.openxmlformats.org/officeDocument/2006/relationships/image" Target="media/image4.gif"/><Relationship Id="rId10" Type="http://schemas.openxmlformats.org/officeDocument/2006/relationships/hyperlink" Target="https://zakon.rada.gov.ua/laws/file/imgs/90/p506691n228-3.emf" TargetMode="External"/><Relationship Id="rId11" Type="http://schemas.openxmlformats.org/officeDocument/2006/relationships/hyperlink" Target="../&#1056;&#1110;&#1096;&#1077;&#1085;&#1085;&#1103;%20&#1057;&#1077;&#1089;&#1110;&#1111;/_blank" TargetMode="External"/><Relationship Id="rId12" Type="http://schemas.openxmlformats.org/officeDocument/2006/relationships/image" Target="media/image5.gif"/><Relationship Id="rId13" Type="http://schemas.openxmlformats.org/officeDocument/2006/relationships/hyperlink" Target="https://zakon.rada.gov.ua/laws/file/imgs/90/p506691n25-4.bmp" TargetMode="External"/><Relationship Id="rId14" Type="http://schemas.openxmlformats.org/officeDocument/2006/relationships/image" Target="media/image6.gif"/><Relationship Id="rId15" Type="http://schemas.openxmlformats.org/officeDocument/2006/relationships/hyperlink" Target="https://zakon.rada.gov.ua/laws/file/imgs/90/p506691n230-5.emf" TargetMode="External"/><Relationship Id="rId16" Type="http://schemas.openxmlformats.org/officeDocument/2006/relationships/image" Target="media/image7.gif"/><Relationship Id="rId17" Type="http://schemas.openxmlformats.org/officeDocument/2006/relationships/hyperlink" Target="https://zakon.rada.gov.ua/laws/file/imgs/90/p506691n29-6.bmp" TargetMode="External"/><Relationship Id="rId18" Type="http://schemas.openxmlformats.org/officeDocument/2006/relationships/image" Target="media/image8.gif"/><Relationship Id="rId19" Type="http://schemas.openxmlformats.org/officeDocument/2006/relationships/hyperlink" Target="https://zakon.rada.gov.ua/laws/file/imgs/90/p506691n232-7.emf" TargetMode="External"/><Relationship Id="rId20" Type="http://schemas.openxmlformats.org/officeDocument/2006/relationships/image" Target="media/image9.gif"/><Relationship Id="rId21" Type="http://schemas.openxmlformats.org/officeDocument/2006/relationships/hyperlink" Target="https://zakon.rada.gov.ua/laws/file/imgs/90/p506691n33-8.bmp" TargetMode="External"/><Relationship Id="rId22" Type="http://schemas.openxmlformats.org/officeDocument/2006/relationships/image" Target="media/image10.gif"/><Relationship Id="rId23" Type="http://schemas.openxmlformats.org/officeDocument/2006/relationships/hyperlink" Target="https://zakon.rada.gov.ua/laws/file/imgs/90/p506691n234-9.emf" TargetMode="External"/><Relationship Id="rId24" Type="http://schemas.openxmlformats.org/officeDocument/2006/relationships/image" Target="media/image11.gif"/><Relationship Id="rId25" Type="http://schemas.openxmlformats.org/officeDocument/2006/relationships/hyperlink" Target="https://zakon.rada.gov.ua/laws/file/imgs/90/p506691n38-10.bmp" TargetMode="External"/><Relationship Id="rId26" Type="http://schemas.openxmlformats.org/officeDocument/2006/relationships/image" Target="media/image12.gif"/><Relationship Id="rId27" Type="http://schemas.openxmlformats.org/officeDocument/2006/relationships/hyperlink" Target="https://zakon.rada.gov.ua/laws/file/imgs/90/p506691n236-11.emf" TargetMode="External"/><Relationship Id="rId28" Type="http://schemas.openxmlformats.org/officeDocument/2006/relationships/image" Target="media/image13.gif"/><Relationship Id="rId29" Type="http://schemas.openxmlformats.org/officeDocument/2006/relationships/hyperlink" Target="https://zakon.rada.gov.ua/laws/file/imgs/90/p506691n236-12.emf" TargetMode="External"/><Relationship Id="rId30" Type="http://schemas.openxmlformats.org/officeDocument/2006/relationships/image" Target="media/image14.gif"/><Relationship Id="rId31" Type="http://schemas.openxmlformats.org/officeDocument/2006/relationships/hyperlink" Target="https://zakon.rada.gov.ua/laws/file/imgs/90/p506691n236-13.emf" TargetMode="External"/><Relationship Id="rId32" Type="http://schemas.openxmlformats.org/officeDocument/2006/relationships/image" Target="media/image15.gif"/><Relationship Id="rId33" Type="http://schemas.openxmlformats.org/officeDocument/2006/relationships/hyperlink" Target="https://zakon.rada.gov.ua/laws/file/imgs/90/p506691n236-14.emf" TargetMode="External"/><Relationship Id="rId34" Type="http://schemas.openxmlformats.org/officeDocument/2006/relationships/image" Target="media/image16.gif"/><Relationship Id="rId35" Type="http://schemas.openxmlformats.org/officeDocument/2006/relationships/hyperlink" Target="https://zakon.rada.gov.ua/laws/file/imgs/90/p506691n44-15.bmp" TargetMode="External"/><Relationship Id="rId36" Type="http://schemas.openxmlformats.org/officeDocument/2006/relationships/image" Target="media/image17.gif"/><Relationship Id="rId37" Type="http://schemas.openxmlformats.org/officeDocument/2006/relationships/hyperlink" Target="https://zakon.rada.gov.ua/laws/file/imgs/90/p506691n238-16.emf" TargetMode="External"/><Relationship Id="rId38" Type="http://schemas.openxmlformats.org/officeDocument/2006/relationships/hyperlink" Target="https://zakon.rada.gov.ua/laws/show/917-19" TargetMode="External"/><Relationship Id="rId39" Type="http://schemas.openxmlformats.org/officeDocument/2006/relationships/hyperlink" Target="../&#1056;&#1110;&#1096;&#1077;&#1085;&#1085;&#1103;%20&#1057;&#1077;&#1089;&#1110;&#1111;/_blank" TargetMode="External"/><Relationship Id="rId40" Type="http://schemas.openxmlformats.org/officeDocument/2006/relationships/hyperlink" Target="https://zakon.rada.gov.ua/laws/show/157-20" TargetMode="External"/><Relationship Id="rId41" Type="http://schemas.openxmlformats.org/officeDocument/2006/relationships/hyperlink" Target="https://zakon.rada.gov.ua/laws/show/157-20" TargetMode="External"/><Relationship Id="rId42" Type="http://schemas.openxmlformats.org/officeDocument/2006/relationships/header" Target="header1.xml"/><Relationship Id="rId43" Type="http://schemas.openxmlformats.org/officeDocument/2006/relationships/header" Target="header2.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2104</TotalTime>
  <Application>LibreOffice/7.0.1.2$Linux_X86_64 LibreOffice_project/7cbcfc562f6eb6708b5ff7d7397325de9e764452</Application>
  <Pages>16</Pages>
  <Words>4211</Words>
  <Characters>28851</Characters>
  <CharactersWithSpaces>33075</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2021-09-10T15:45:06Z</cp:lastPrinted>
  <dcterms:modified xsi:type="dcterms:W3CDTF">2021-09-17T16:23:12Z</dcterms:modified>
  <cp:revision>354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