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7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bidi w:val="0"/>
        <w:spacing w:lineRule="auto" w:line="240"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7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ПРОЄКТ </w:t>
      </w:r>
      <w:r>
        <w:rPr>
          <w:b/>
          <w:bCs/>
          <w:sz w:val="28"/>
          <w:szCs w:val="28"/>
        </w:rPr>
        <w:t>РІШЕННЯ</w:t>
      </w:r>
    </w:p>
    <w:p>
      <w:pPr>
        <w:pStyle w:val="Style17"/>
        <w:bidi w:val="0"/>
        <w:spacing w:before="0" w:after="0"/>
        <w:jc w:val="left"/>
        <w:rPr/>
      </w:pPr>
      <w:r>
        <w:rPr/>
        <w:t xml:space="preserve">____________________                                 </w:t>
      </w:r>
      <w:r>
        <w:rPr>
          <w:sz w:val="20"/>
          <w:szCs w:val="20"/>
        </w:rPr>
        <w:t>м.Покров</w:t>
      </w:r>
      <w:r>
        <w:rPr/>
        <w:t xml:space="preserve">                                   № ___________</w:t>
      </w:r>
    </w:p>
    <w:p>
      <w:pPr>
        <w:pStyle w:val="Style17"/>
        <w:bidi w:val="0"/>
        <w:spacing w:before="0" w:after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57" w:hanging="0"/>
        <w:jc w:val="both"/>
        <w:rPr>
          <w:highlight w:val="none"/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eastAsia="ru-RU" w:bidi="ar-SA"/>
        </w:rPr>
        <w:t xml:space="preserve">Про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6"/>
          <w:szCs w:val="26"/>
          <w:u w:val="none"/>
          <w:shd w:fill="auto" w:val="clear"/>
          <w:lang w:val="uk-UA" w:eastAsia="ru-RU" w:bidi="ar-SA"/>
        </w:rPr>
        <w:t>затвердження</w:t>
      </w:r>
      <w:r>
        <w:rPr>
          <w:rFonts w:eastAsia="Times New Roman" w:cs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eastAsia="ru-RU" w:bidi="ar-SA"/>
        </w:rPr>
        <w:t xml:space="preserve"> ТОВ «Укртехресурс»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57" w:hanging="0"/>
        <w:jc w:val="both"/>
        <w:rPr>
          <w:highlight w:val="none"/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eastAsia="ru-RU" w:bidi="ar-SA"/>
        </w:rPr>
        <w:t>тарифу на теплову енергію</w:t>
      </w:r>
    </w:p>
    <w:p>
      <w:pPr>
        <w:pStyle w:val="Style17"/>
        <w:bidi w:val="0"/>
        <w:spacing w:lineRule="auto" w:line="240" w:before="0" w:after="0"/>
        <w:jc w:val="left"/>
        <w:rPr>
          <w:rFonts w:ascii="Liberation Serif" w:hAnsi="Liberation Serif"/>
          <w:b w:val="false"/>
          <w:b w:val="false"/>
          <w:bCs w:val="false"/>
          <w:color w:val="auto"/>
          <w:sz w:val="26"/>
          <w:szCs w:val="26"/>
          <w:highlight w:val="none"/>
          <w:u w:val="none"/>
          <w:shd w:fill="auto" w:val="clear"/>
        </w:rPr>
      </w:pPr>
      <w:r>
        <w:rPr>
          <w:b w:val="false"/>
          <w:bCs w:val="false"/>
          <w:color w:val="000000"/>
          <w:sz w:val="26"/>
          <w:szCs w:val="26"/>
          <w:u w:val="none"/>
          <w:shd w:fill="auto" w:val="clear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eastAsia="Times New Roman" w:cs="Times New Roman"/>
          <w:b w:val="false"/>
          <w:bCs w:val="false"/>
          <w:color w:val="000000"/>
          <w:sz w:val="26"/>
          <w:szCs w:val="26"/>
          <w:u w:val="none"/>
          <w:shd w:fill="auto" w:val="clear"/>
          <w:lang w:eastAsia="ru-RU"/>
        </w:rPr>
        <w:t xml:space="preserve">На підставі звернення </w:t>
      </w:r>
      <w:r>
        <w:rPr>
          <w:rFonts w:eastAsia="Times New Roman" w:cs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eastAsia="ru-RU" w:bidi="ar-SA"/>
        </w:rPr>
        <w:t>ТОВ « Укртехресурс»</w:t>
      </w:r>
      <w:r>
        <w:rPr>
          <w:rFonts w:eastAsia="Times New Roman" w:cs="Times New Roman"/>
          <w:b w:val="false"/>
          <w:bCs w:val="false"/>
          <w:color w:val="000000"/>
          <w:sz w:val="26"/>
          <w:szCs w:val="26"/>
          <w:u w:val="none"/>
          <w:shd w:fill="auto" w:val="clear"/>
          <w:lang w:eastAsia="ru-RU"/>
        </w:rPr>
        <w:t xml:space="preserve"> від 14.11.2022 №27-22, відповідно до постанови Кабінету Міністрів України від 01.06.2011 року №869 «Про забезпечення єдиного підходу до формування тарифів на комунальні послуги», керуючись “Порядком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її встановлення”, затвердженого Наказом Міністерства регіонального розвитку, будівництва та житлово-комунального господарства України від 12.09.2018 №239, Законами України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функціонування», «Про теплопостачання», «Про місцеве самоврядування в Україні»,  виконавчий комітет міської ради</w:t>
      </w:r>
    </w:p>
    <w:p>
      <w:pPr>
        <w:pStyle w:val="Normal"/>
        <w:keepNext w:val="true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color w:val="auto"/>
          <w:sz w:val="26"/>
          <w:szCs w:val="26"/>
          <w:highlight w:val="none"/>
          <w:u w:val="none"/>
          <w:shd w:fill="auto" w:val="clear"/>
          <w:lang w:eastAsia="ru-RU"/>
        </w:rPr>
      </w:pPr>
      <w:r>
        <w:rPr>
          <w:rFonts w:eastAsia="Times New Roman" w:cs="Times New Roman"/>
          <w:b w:val="false"/>
          <w:bCs w:val="false"/>
          <w:color w:val="000000"/>
          <w:sz w:val="26"/>
          <w:szCs w:val="26"/>
          <w:u w:val="none"/>
          <w:shd w:fill="auto" w:val="clear"/>
          <w:lang w:eastAsia="ru-RU"/>
        </w:rPr>
      </w:r>
    </w:p>
    <w:p>
      <w:pPr>
        <w:pStyle w:val="Normal"/>
        <w:keepNext w:val="true"/>
        <w:spacing w:lineRule="auto" w:line="240" w:before="0" w:after="0"/>
        <w:jc w:val="both"/>
        <w:rPr>
          <w:highlight w:val="none"/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sz w:val="26"/>
          <w:szCs w:val="26"/>
          <w:u w:val="none"/>
          <w:shd w:fill="auto" w:val="clear"/>
          <w:lang w:eastAsia="ru-RU"/>
        </w:rPr>
        <w:t>ВИРІШИВ:</w:t>
      </w:r>
      <w:r>
        <w:rPr>
          <w:rFonts w:eastAsia="Times New Roman" w:cs="Times New Roman"/>
          <w:b w:val="false"/>
          <w:bCs w:val="false"/>
          <w:iCs/>
          <w:color w:val="000000"/>
          <w:sz w:val="26"/>
          <w:szCs w:val="26"/>
          <w:u w:val="none"/>
          <w:shd w:fill="auto" w:val="clear"/>
          <w:lang w:eastAsia="ru-RU"/>
        </w:rPr>
        <w:t xml:space="preserve">     </w:t>
      </w:r>
    </w:p>
    <w:p>
      <w:pPr>
        <w:pStyle w:val="Normal"/>
        <w:keepNext w:val="true"/>
        <w:spacing w:lineRule="auto" w:line="240" w:before="0" w:after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iCs/>
          <w:color w:val="auto"/>
          <w:sz w:val="26"/>
          <w:szCs w:val="26"/>
          <w:highlight w:val="none"/>
          <w:u w:val="none"/>
          <w:shd w:fill="auto" w:val="clear"/>
          <w:lang w:eastAsia="ru-RU"/>
        </w:rPr>
      </w:pPr>
      <w:r>
        <w:rPr>
          <w:rFonts w:eastAsia="Times New Roman" w:cs="Times New Roman"/>
          <w:b w:val="false"/>
          <w:bCs w:val="false"/>
          <w:iCs/>
          <w:color w:val="000000"/>
          <w:sz w:val="26"/>
          <w:szCs w:val="26"/>
          <w:u w:val="none"/>
          <w:shd w:fill="auto" w:val="clear"/>
          <w:lang w:eastAsia="ru-RU"/>
        </w:rPr>
      </w:r>
    </w:p>
    <w:p>
      <w:pPr>
        <w:pStyle w:val="Normal"/>
        <w:widowControl/>
        <w:tabs>
          <w:tab w:val="clear" w:pos="709"/>
          <w:tab w:val="left" w:pos="975" w:leader="none"/>
        </w:tabs>
        <w:suppressAutoHyphens w:val="true"/>
        <w:bidi w:val="0"/>
        <w:spacing w:lineRule="auto" w:line="276" w:before="0" w:after="0"/>
        <w:ind w:left="0" w:right="0" w:firstLine="567"/>
        <w:jc w:val="both"/>
        <w:rPr/>
      </w:pPr>
      <w:r>
        <w:rPr>
          <w:sz w:val="26"/>
          <w:szCs w:val="26"/>
          <w:shd w:fill="auto" w:val="clear"/>
        </w:rPr>
        <w:t>1</w:t>
      </w:r>
      <w:r>
        <w:rPr>
          <w:sz w:val="26"/>
          <w:szCs w:val="26"/>
          <w:shd w:fill="auto" w:val="clear"/>
          <w:lang w:val="uk-UA"/>
        </w:rPr>
        <w:t>.</w:t>
      </w:r>
      <w:r>
        <w:rPr>
          <w:bCs/>
          <w:iCs/>
          <w:sz w:val="26"/>
          <w:szCs w:val="26"/>
          <w:shd w:fill="auto" w:val="clear"/>
          <w:lang w:val="uk-UA"/>
        </w:rPr>
        <w:t xml:space="preserve"> </w:t>
      </w:r>
      <w:r>
        <w:rPr>
          <w:rFonts w:eastAsia="Times New Roman" w:cs="Times New Roman"/>
          <w:b w:val="false"/>
          <w:bCs w:val="false"/>
          <w:iCs/>
          <w:color w:val="000000"/>
          <w:sz w:val="26"/>
          <w:szCs w:val="26"/>
          <w:u w:val="none"/>
          <w:shd w:fill="auto" w:val="clear"/>
          <w:lang w:val="uk-UA" w:eastAsia="ru-RU"/>
        </w:rPr>
        <w:t>Встановити ТОВ «Укртехресурс» тариф на теплову енергію (у тому числі її виробництво), виробленої з використанням природного газу для опалення будівлі бюджетної установи - Управління праці та соціального захисту населення виконавчого комітету Покровської міської ради Дніпропетровської області, розташованої за  адресою: вул.Горького, 5, м. Покров, Нікопольський р-н, Дніпропетровська обл., в розмірі 4309,91 грн./Гкал без ПДВ, в тому числі виробництво теплової енергії — 4309,91 грн./Гкал без ПДВ.</w:t>
      </w:r>
    </w:p>
    <w:p>
      <w:pPr>
        <w:pStyle w:val="Normal"/>
        <w:widowControl/>
        <w:tabs>
          <w:tab w:val="clear" w:pos="709"/>
          <w:tab w:val="left" w:pos="975" w:leader="none"/>
        </w:tabs>
        <w:suppressAutoHyphens w:val="true"/>
        <w:bidi w:val="0"/>
        <w:spacing w:lineRule="auto" w:line="276" w:before="114" w:after="114"/>
        <w:ind w:left="0" w:right="0" w:firstLine="567"/>
        <w:jc w:val="both"/>
        <w:rPr>
          <w:highlight w:val="none"/>
          <w:shd w:fill="FFFF00" w:val="clear"/>
        </w:rPr>
      </w:pPr>
      <w:r>
        <w:rPr>
          <w:rFonts w:eastAsia="Times New Roman" w:cs="Times New Roman"/>
          <w:b w:val="false"/>
          <w:bCs w:val="false"/>
          <w:iCs/>
          <w:color w:val="000000"/>
          <w:sz w:val="26"/>
          <w:szCs w:val="26"/>
          <w:u w:val="none"/>
          <w:shd w:fill="auto" w:val="clear"/>
          <w:lang w:val="uk-UA" w:eastAsia="ru-RU" w:bidi="ar-SA"/>
        </w:rPr>
        <w:t>2. Визначити структуру тарифу на теплову енергію (у тому числі її виробництво) згідно додатку.</w:t>
      </w:r>
    </w:p>
    <w:p>
      <w:pPr>
        <w:pStyle w:val="Normal"/>
        <w:widowControl/>
        <w:tabs>
          <w:tab w:val="clear" w:pos="709"/>
          <w:tab w:val="left" w:pos="975" w:leader="none"/>
        </w:tabs>
        <w:suppressAutoHyphens w:val="true"/>
        <w:bidi w:val="0"/>
        <w:spacing w:lineRule="auto" w:line="276" w:before="114" w:after="114"/>
        <w:ind w:left="0" w:right="0" w:firstLine="567"/>
        <w:jc w:val="both"/>
        <w:rPr/>
      </w:pPr>
      <w:r>
        <w:rPr>
          <w:rFonts w:eastAsia="Times New Roman" w:cs="Times New Roman"/>
          <w:b w:val="false"/>
          <w:bCs w:val="false"/>
          <w:color w:val="1D1D1B"/>
          <w:sz w:val="26"/>
          <w:szCs w:val="26"/>
          <w:u w:val="none"/>
          <w:shd w:fill="auto" w:val="clear"/>
          <w:lang w:val="uk-UA" w:eastAsia="uk-UA"/>
        </w:rPr>
        <w:t xml:space="preserve">3. Тарифи на теплову енергію </w:t>
      </w:r>
      <w:r>
        <w:rPr>
          <w:rFonts w:eastAsia="Times New Roman" w:cs="Times New Roman"/>
          <w:b w:val="false"/>
          <w:bCs/>
          <w:iCs/>
          <w:color w:val="000000"/>
          <w:sz w:val="26"/>
          <w:szCs w:val="26"/>
          <w:u w:val="none"/>
          <w:shd w:fill="auto" w:val="clear"/>
          <w:lang w:val="uk-UA" w:eastAsia="ru-RU"/>
        </w:rPr>
        <w:t xml:space="preserve">(у тому числі </w:t>
      </w:r>
      <w:r>
        <w:rPr>
          <w:rFonts w:eastAsia="Times New Roman" w:cs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eastAsia="ru-RU"/>
        </w:rPr>
        <w:t>її виробництво)</w:t>
      </w:r>
      <w:r>
        <w:rPr>
          <w:rFonts w:eastAsia="Times New Roman" w:cs="Times New Roman"/>
          <w:b w:val="false"/>
          <w:bCs w:val="false"/>
          <w:color w:val="1D1D1B"/>
          <w:sz w:val="26"/>
          <w:szCs w:val="26"/>
          <w:u w:val="none"/>
          <w:shd w:fill="auto" w:val="clear"/>
          <w:lang w:val="uk-UA" w:eastAsia="uk-UA"/>
        </w:rPr>
        <w:t>, встановлені цим рішенням, застосовуються з 16.11.2022 року.</w:t>
      </w:r>
    </w:p>
    <w:p>
      <w:pPr>
        <w:pStyle w:val="Normal"/>
        <w:widowControl/>
        <w:tabs>
          <w:tab w:val="clear" w:pos="709"/>
          <w:tab w:val="left" w:pos="975" w:leader="none"/>
        </w:tabs>
        <w:suppressAutoHyphens w:val="true"/>
        <w:bidi w:val="0"/>
        <w:spacing w:lineRule="auto" w:line="276" w:before="114" w:after="114"/>
        <w:ind w:left="0" w:right="0" w:firstLine="567"/>
        <w:jc w:val="both"/>
        <w:rPr>
          <w:highlight w:val="none"/>
          <w:shd w:fill="FFFF00" w:val="clear"/>
        </w:rPr>
      </w:pPr>
      <w:r>
        <w:rPr>
          <w:rFonts w:eastAsia="Times New Roman" w:cs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eastAsia="ru-RU" w:bidi="ar-SA"/>
        </w:rPr>
        <w:t>4. Рішення виконавчого комітету Покровської міської ради від                               09.11.2021 року № 522//06-53-21 вважати таким, що втратило чинність.</w:t>
      </w:r>
    </w:p>
    <w:p>
      <w:pPr>
        <w:pStyle w:val="Normal"/>
        <w:widowControl/>
        <w:tabs>
          <w:tab w:val="clear" w:pos="709"/>
          <w:tab w:val="left" w:pos="975" w:leader="none"/>
        </w:tabs>
        <w:suppressAutoHyphens w:val="true"/>
        <w:bidi w:val="0"/>
        <w:spacing w:lineRule="auto" w:line="276" w:before="114" w:after="114"/>
        <w:ind w:left="0" w:right="0" w:firstLine="567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eastAsia="ru-RU" w:bidi="ar-SA"/>
        </w:rPr>
        <w:t>5. Контроль за виконанням  цього  рішення  покласти  на заступників міського голови Олександра ЧИСТЯКОВА та Віталія СОЛЯНКО.</w:t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6"/>
          <w:szCs w:val="26"/>
          <w:highlight w:val="none"/>
          <w:u w:val="none"/>
          <w:shd w:fill="auto" w:val="clear"/>
        </w:rPr>
      </w:pPr>
      <w:r>
        <w:rPr>
          <w:b w:val="false"/>
          <w:bCs w:val="false"/>
          <w:color w:val="000000"/>
          <w:sz w:val="26"/>
          <w:szCs w:val="26"/>
          <w:u w:val="none"/>
          <w:shd w:fill="auto" w:val="clear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6"/>
          <w:szCs w:val="26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4"/>
      <w:lang w:val="uk-UA"/>
    </w:rPr>
  </w:style>
  <w:style w:type="character" w:styleId="Style13">
    <w:name w:val="Гіперпосилання"/>
    <w:qFormat/>
    <w:rPr>
      <w:color w:val="0000FF"/>
      <w:u w:val="single"/>
    </w:rPr>
  </w:style>
  <w:style w:type="character" w:styleId="Style14">
    <w:name w:val="Відвідане гіперпосилання"/>
    <w:qFormat/>
    <w:rPr>
      <w:color w:val="800080"/>
      <w:u w:val="single"/>
    </w:rPr>
  </w:style>
  <w:style w:type="character" w:styleId="Style15">
    <w:name w:val="Hyperlink"/>
    <w:qFormat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1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2">
    <w:name w:val="Обычный (веб)"/>
    <w:basedOn w:val="Normal"/>
    <w:qFormat/>
    <w:pPr>
      <w:spacing w:before="280" w:after="280"/>
    </w:pPr>
    <w:rPr/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1212</TotalTime>
  <Application>LibreOffice/7.4.2.3$Linux_X86_64 LibreOffice_project/40$Build-3</Application>
  <AppVersion>15.0000</AppVersion>
  <Pages>1</Pages>
  <Words>254</Words>
  <Characters>1775</Characters>
  <CharactersWithSpaces>2124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2021-11-15T08:26:58Z</dcterms:created>
  <dc:creator/>
  <dc:description/>
  <dc:language>uk-UA</dc:language>
  <cp:lastModifiedBy/>
  <cp:lastPrinted>2022-11-15T10:28:43Z</cp:lastPrinted>
  <dcterms:modified xsi:type="dcterms:W3CDTF">2022-11-15T13:07:52Z</dcterms:modified>
  <cp:revision>271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