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Про затвердження умов оренди частини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нежитлової будівлі загальною площею 45,0 кв.м.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розташованої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 по вул.Партизанська, 71в м.Покров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, включеної до Переліку першого типу</w:t>
      </w:r>
    </w:p>
    <w:p>
      <w:pPr>
        <w:pStyle w:val="Style17"/>
        <w:bidi w:val="0"/>
        <w:spacing w:lineRule="auto" w:line="276" w:before="0" w:after="0"/>
        <w:jc w:val="left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Розглянувши заяву потенційного орендаря Закладу обєднання громадян Дніпропетровської обласної організації Товариства сприяння оборони України "НІКОПОЛЬСЬКА АВТОМОБІЛЬНА ШКОЛА" (ID заяви: </w:t>
      </w:r>
      <w:hyperlink r:id="rId2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8F8F8" w:val="clear"/>
            <w:lang w:eastAsia="ru-RU"/>
          </w:rPr>
          <w:t>RGLR001-UA-20220727-49310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) на оренду об’єкта оренди, включеного до Переліку першого типу, подану 27.07.2022 року через ЕТС “ProZorro.Продажі”, (ID об'єкта: </w:t>
      </w:r>
      <w:hyperlink r:id="rId3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  <w:lang w:eastAsia="ru-RU"/>
          </w:rPr>
          <w:t>RGL001-UA-20201123-76319</w:t>
        </w:r>
      </w:hyperlink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 від 03.10.2019 №157-ІХ, “Порядком передачі в оренду державного та комунального майна”, затвердженим постановою КМУ від 03.06.2020 року №483,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8"/>
          <w:szCs w:val="28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eastAsia="ru-RU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1. Затвердити 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“частина нежитлової будівлі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 xml:space="preserve">, загальною площею 45,0 кв.м., за адресою: Дніпропетровська область, Нікопольський район, м.Покров, вул.Партизанська, 71” (ID об'єкта: </w:t>
      </w:r>
      <w:hyperlink r:id="rId4">
        <w:r>
          <w:rPr>
            <w:rFonts w:eastAsia="Times New Roman" w:cs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  <w:shd w:fill="FFFFFF" w:val="clear"/>
            <w:lang w:val="uk-UA" w:eastAsia="ru-RU" w:bidi="ar-SA"/>
          </w:rPr>
          <w:t>RGL001-UA-20201123-76319</w:t>
        </w:r>
      </w:hyperlink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)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, передача якого здійснюється на аукціоні, додаються.</w:t>
      </w:r>
    </w:p>
    <w:p>
      <w:pPr>
        <w:pStyle w:val="Style17"/>
        <w:widowControl/>
        <w:suppressAutoHyphens w:val="true"/>
        <w:bidi w:val="0"/>
        <w:spacing w:lineRule="auto" w:line="276" w:before="0" w:after="140"/>
        <w:ind w:left="0" w:right="0" w:firstLine="567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rFonts w:eastAsia="Times New Roman" w:cs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2. Контроль за виконанням  цього  рішення  покласти  на заступника міського голови Олександра ЧИСТЯКОВА.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8"/>
          <w:szCs w:val="28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8"/>
          <w:szCs w:val="28"/>
          <w:highlight w:val="none"/>
          <w:u w:val="none"/>
          <w:shd w:fill="auto" w:val="clear"/>
        </w:rPr>
      </w:pPr>
      <w:r>
        <w:rPr/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ЗАТВЕРДЖЕНО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rFonts w:ascii="Liberation Serif" w:hAnsi="Liberation Serif"/>
        </w:rPr>
      </w:pPr>
      <w:r>
        <w:rPr>
          <w:rFonts w:cs="Times New Roman"/>
          <w:sz w:val="28"/>
          <w:szCs w:val="28"/>
        </w:rPr>
        <w:t>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</w:rPr>
      </w:pP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 xml:space="preserve">              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rFonts w:ascii="Liberation Serif" w:hAnsi="Liberation Serif"/>
        </w:rPr>
      </w:pP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№</w:t>
      </w:r>
      <w:r>
        <w:rPr>
          <w:rFonts w:eastAsia="Calibri" w:cs="Times New Roman"/>
          <w:color w:val="000000"/>
          <w:sz w:val="28"/>
          <w:szCs w:val="28"/>
          <w:lang w:val="uk-UA" w:eastAsia="zh-CN" w:bidi="ar-SA"/>
        </w:rPr>
        <w:t>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</w:rPr>
        <w:t xml:space="preserve">Умови оренди об'єкта оренди, включеного до Переліку першого типу комунального майна Покровської міської територіальної громади Дніпропетровської області, а саме: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“частина нежитлової будівлі, загальною площею 45,0 кв.м., за адресою: Дніпропетровська область, Нікопольський район, м.Покров, вул.Партизанська, 71” (ID об'єкта: RGL001-UA-20201123-76319)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 Умови, на яких здійснюється оренда об’єкта оренди, включеного до Переліку першого типу, а саме: “частина нежитлової будівлі, загальною площею 45,0 кв.м., за адресою: Дніпропетровська область, Нікопольський район, м.Покров, вул.Партизанська, 71” (ID об'єкта: RGL001-UA-20201123-76319) (далі — Об'єкт оренди):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1.1. Розмір стартової орендної плати для:</w:t>
      </w:r>
    </w:p>
    <w:p>
      <w:pPr>
        <w:pStyle w:val="Normal"/>
        <w:spacing w:lineRule="auto" w:line="240" w:before="57" w:after="57"/>
        <w:jc w:val="both"/>
        <w:rPr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>- електронного аукціону –</w:t>
      </w:r>
      <w:r>
        <w:rPr>
          <w:rFonts w:cs="Times New Roman"/>
          <w:b/>
          <w:bCs/>
          <w:sz w:val="28"/>
          <w:szCs w:val="28"/>
          <w:shd w:fill="auto" w:val="clear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uk-UA" w:bidi="ar-SA"/>
        </w:rPr>
        <w:t>844,65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sz w:val="28"/>
          <w:szCs w:val="28"/>
          <w:shd w:fill="auto" w:val="clear"/>
        </w:rPr>
        <w:t>грн.;</w:t>
        <w:tab/>
      </w:r>
    </w:p>
    <w:p>
      <w:pPr>
        <w:pStyle w:val="Normal"/>
        <w:spacing w:lineRule="auto" w:line="240" w:before="57" w:after="57"/>
        <w:jc w:val="both"/>
        <w:rPr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із зниженням стартової ціни —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422,33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</w:t>
      </w:r>
      <w:r>
        <w:rPr>
          <w:rFonts w:cs="Times New Roman"/>
          <w:b w:val="false"/>
          <w:bCs w:val="false"/>
          <w:sz w:val="28"/>
          <w:szCs w:val="28"/>
          <w:shd w:fill="auto" w:val="clear"/>
        </w:rPr>
        <w:t>;</w:t>
      </w:r>
    </w:p>
    <w:p>
      <w:pPr>
        <w:pStyle w:val="Normal"/>
        <w:spacing w:lineRule="auto" w:line="240" w:before="57" w:after="57"/>
        <w:jc w:val="both"/>
        <w:rPr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- електронного аукціону за методом покрокового зниження стартової орендної плати та подальшого подання цінових пропозицій –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422,33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 </w:t>
      </w:r>
      <w:r>
        <w:rPr>
          <w:rFonts w:cs="Times New Roman"/>
          <w:b w:val="false"/>
          <w:bCs w:val="false"/>
          <w:sz w:val="28"/>
          <w:szCs w:val="28"/>
          <w:shd w:fill="auto" w:val="clear"/>
          <w:lang w:eastAsia="uk-UA"/>
        </w:rPr>
        <w:t>грн.;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1.2. Строк оренди - 5 років.</w:t>
      </w:r>
    </w:p>
    <w:p>
      <w:pPr>
        <w:pStyle w:val="Normal"/>
        <w:spacing w:lineRule="auto" w:line="240" w:before="57" w:after="57"/>
        <w:jc w:val="both"/>
        <w:rPr>
          <w:highlight w:val="none"/>
          <w:shd w:fill="auto" w:val="clear"/>
        </w:rPr>
      </w:pPr>
      <w:r>
        <w:rPr>
          <w:rFonts w:cs="Times New Roman"/>
          <w:sz w:val="28"/>
          <w:szCs w:val="28"/>
          <w:shd w:fill="auto" w:val="clear"/>
        </w:rPr>
        <w:t xml:space="preserve">1.3. Розмір гарантійного внеску для участі в електронному аукціоні становить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shd w:fill="auto" w:val="clear"/>
          <w:lang w:val="uk-UA" w:eastAsia="uk-UA" w:bidi="ar-SA"/>
        </w:rPr>
        <w:t xml:space="preserve">5582,25 грн.  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 xml:space="preserve">1.4. Розмір реєстраційного внеску: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650,00</w:t>
      </w:r>
      <w:r>
        <w:rPr>
          <w:rFonts w:cs="Times New Roman"/>
          <w:sz w:val="28"/>
          <w:szCs w:val="28"/>
          <w:shd w:fill="auto" w:val="clear"/>
        </w:rPr>
        <w:t xml:space="preserve"> грн., що становить 0,1 мінімальної заробітної плати станом на 1 січня поточного року.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1.5. Кількість кроків аукціону за методом покрокового зниження стартової орендної плати та подальшого подання цінових пропозицій становить 1 крок.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1.6. Розмір мінімального кроку аукціону встановлюється на рівні 1 відсотка стартової орендної плати об’єкта оренди.</w:t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1.7. Період прийому заяв на участь в електронному аукціоні та період між аукціонами – 5 календарних днів з дати оприлюднення в ЕТС оголошення про передачу майна в 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1.8. Об'єкт оренди надається переможцю електронного аукціону з передачі майна в оренду без права передачі в суборенду.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1.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9</w:t>
      </w:r>
      <w:r>
        <w:rPr>
          <w:rFonts w:cs="Times New Roman"/>
          <w:sz w:val="28"/>
          <w:szCs w:val="28"/>
          <w:shd w:fill="auto" w:val="clear"/>
        </w:rPr>
        <w:t>. Додаткові умови оренди: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  <w:lang w:val="uk-UA"/>
        </w:rPr>
        <w:t>Об’єкт оренди може бути використаний за цільовим призначенням на розсуд орендаря, за винятком таких цільових призначень: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/>
          <w:b w:val="false"/>
          <w:bCs w:val="false"/>
          <w:sz w:val="28"/>
          <w:szCs w:val="28"/>
          <w:shd w:fill="auto" w:val="clear"/>
          <w:lang w:val="uk-UA" w:bidi="ar-SA"/>
        </w:rPr>
        <w:t>- з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аклади харчування, кафе, бари, ресторани, які здійснюють продаж товарів підакцизної групи. Торговельні об’єкти, які здійснюють продаж товарів підакцизної групи;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заклади харчування, їдальні, буфети, кафе, які не здійснюють продаж товарів підакцизної групи. Торговельні об’єкти, які не здійснюють продаж товарів підакцизної групи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 xml:space="preserve">- нічні клуби. Ресторани з нічним режимом роботи (після 22 год).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Інтернет-кафе;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пункти обміну валюти, банкомати, платіжні термінали. Торговельні автомати. Розміщення технічних засобів і антен операторів телекомунікацій, суб’єктів підприємницької діяльності, які надають послуги зв’язку, послуги доступу до Інтернету, телекомунікації, передання сигналу мовлення. Розміщення зовнішньої реклами на будівлях і спорудах. Продаж книг, газет і журналів;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  <w:t>- ритуальні послуги. Громадські вбиральні. Збір і сортування вторинної сировини.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pPr>
      <w:r>
        <w:rPr>
          <w:rFonts w:cs="Times New Roman"/>
          <w:b w:val="false"/>
          <w:bCs w:val="false"/>
          <w:i w:val="false"/>
          <w:caps w:val="false"/>
          <w:smallCaps w:val="false"/>
          <w:color w:val="191919"/>
          <w:spacing w:val="0"/>
          <w:sz w:val="28"/>
          <w:szCs w:val="28"/>
          <w:shd w:fill="auto" w:val="clear"/>
          <w:lang w:val="uk-UA" w:bidi="ar-SA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  <w:shd w:fill="FFFF00" w:val="clear"/>
        </w:rPr>
      </w:pPr>
      <w:r>
        <w:rPr>
          <w:rFonts w:cs="Times New Roman"/>
          <w:sz w:val="28"/>
          <w:szCs w:val="28"/>
          <w:shd w:fill="FFFF00" w:val="clear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0" w:right="0" w:hanging="0"/>
        <w:jc w:val="both"/>
        <w:rPr>
          <w:rFonts w:ascii="Liberation Serif" w:hAnsi="Liberation Serif"/>
        </w:rPr>
      </w:pPr>
      <w:r>
        <w:rPr>
          <w:rFonts w:cs="Times New Roman"/>
          <w:sz w:val="28"/>
          <w:szCs w:val="28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8"/>
          <w:szCs w:val="28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ascii="Liberation Serif" w:hAnsi="Liberation Serif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Интернет-ссылка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_parent" TargetMode="External"/><Relationship Id="rId3" Type="http://schemas.openxmlformats.org/officeDocument/2006/relationships/hyperlink" Target="../_blank" TargetMode="External"/><Relationship Id="rId4" Type="http://schemas.openxmlformats.org/officeDocument/2006/relationships/hyperlink" Target="../_blank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853</TotalTime>
  <Application>LibreOffice/7.3.4.2$Linux_X86_64 LibreOffice_project/30$Build-2</Application>
  <AppVersion>15.0000</AppVersion>
  <Pages>3</Pages>
  <Words>544</Words>
  <Characters>3935</Characters>
  <CharactersWithSpaces>4726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2022-08-01T12:41:11Z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