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5376545</wp:posOffset>
                </wp:positionH>
                <wp:positionV relativeFrom="paragraph">
                  <wp:posOffset>-290830</wp:posOffset>
                </wp:positionV>
                <wp:extent cx="6203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3.35pt;margin-top:-22.9pt;width:48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5">
            <wp:simplePos x="0" y="0"/>
            <wp:positionH relativeFrom="column">
              <wp:posOffset>2783840</wp:posOffset>
            </wp:positionH>
            <wp:positionV relativeFrom="paragraph">
              <wp:posOffset>-583565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18.12.2019 р.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№534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щодо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визначення місця проживання малолітньої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з матір'ю,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за адресою: м.Покров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</w:p>
    <w:p>
      <w:pPr>
        <w:pStyle w:val="Normal"/>
        <w:suppressAutoHyphens w:val="false"/>
        <w:textAlignment w:val="auto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 34 Закону України «Про місцеве самоврядування в Україні»,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ст.ст. 157, 158, 160, 161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</w:t>
      </w:r>
      <w:r>
        <w:rPr>
          <w:rFonts w:cs="Times New Roman" w:ascii="Times New Roman" w:hAnsi="Times New Roman"/>
          <w:sz w:val="28"/>
          <w:szCs w:val="28"/>
        </w:rPr>
        <w:t>відповідно до рішення комісії з питань захисту прав дитини від 13.12.2019 року (протокол №14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виконавчого комітету Покровської міської ради щодо визначення місця проживання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з матір'ю,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за адресою: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89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LibreOffice/6.1.4.2$Windows_x86 LibreOffice_project/9d0f32d1f0b509096fd65e0d4bec26ddd1938fd3</Application>
  <Pages>2</Pages>
  <Words>179</Words>
  <Characters>1147</Characters>
  <CharactersWithSpaces>1425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2019-12-13T12:10:00Z</cp:lastPrinted>
  <dcterms:modified xsi:type="dcterms:W3CDTF">2019-12-24T11:05:20Z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