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5361940</wp:posOffset>
                </wp:positionH>
                <wp:positionV relativeFrom="paragraph">
                  <wp:posOffset>-405130</wp:posOffset>
                </wp:positionV>
                <wp:extent cx="64008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2.2pt;margin-top:-31.9pt;width:50.3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>2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2.07.2020 р.</w:t>
      </w:r>
      <w:r>
        <w:rPr>
          <w:rStyle w:val="Style15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ru-RU" w:eastAsia="ru-RU" w:bidi="ar-SA"/>
        </w:rPr>
        <w:t xml:space="preserve">    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№ 283</w:t>
      </w:r>
      <w:r>
        <w:rPr>
          <w:rStyle w:val="Style15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         </w:t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Про затвердження висновку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органу опіки та піклування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виконавчого комітету Покровської міської ради  Дніпропетровської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області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ро встановлення  способів участі гр.ХХХХ ХХХХ</w:t>
      </w:r>
    </w:p>
    <w:p>
      <w:pPr>
        <w:pStyle w:val="Normal"/>
        <w:jc w:val="both"/>
        <w:textAlignment w:val="auto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ХХХХХ, 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року народження у вихованні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малолітньої ХХХХ ХХХХХ ХХХХ, ХХХХ року народження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ст.34 Закону України «Про місцеве самоврядування в Україні», керуючись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ст.ст. 141, 157, 158 </w:t>
      </w:r>
      <w:r>
        <w:rPr>
          <w:rFonts w:cs="Times New Roman" w:ascii="Times New Roman" w:hAnsi="Times New Roman"/>
          <w:sz w:val="28"/>
          <w:szCs w:val="28"/>
        </w:rPr>
        <w:t xml:space="preserve"> Сімейного кодексу України, Постановою Кабінету Міністрів України від 24.09.2008 року №866 «Питання діяльності органів опіки та піклування, пов’язаної із захистом прав дитини», відповідно до рішення комісії з питань захисту прав дитини від 17.07.2020 року (протокол №7), виконавчий комітет Покровської міської ради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виконавчого комітету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 встановлення  способів участі гр.ХХХХ 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, 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року народження у вихованні малолітньої ХХХХ ХХХХ ХХХХ,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LibreOffice/6.1.4.2$Windows_x86 LibreOffice_project/9d0f32d1f0b509096fd65e0d4bec26ddd1938fd3</Application>
  <Pages>2</Pages>
  <Words>168</Words>
  <Characters>1137</Characters>
  <CharactersWithSpaces>1597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2020-07-27T09:03:13Z</cp:lastPrinted>
  <dcterms:modified xsi:type="dcterms:W3CDTF">2020-07-29T10:00:36Z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