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17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чергового засідання виконавчого комітету Покровської міської ради</w:t>
      </w:r>
    </w:p>
    <w:p>
      <w:pPr>
        <w:pStyle w:val="BodyText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>27.05.2026                                                                                                                   м.Покров</w:t>
      </w:r>
    </w:p>
    <w:p>
      <w:pPr>
        <w:pStyle w:val="BodyText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bidi="ar-SA"/>
        </w:rPr>
        <w:t>Початок засідання 14:00 год.                                                          Кінець засідання: 14:50 год</w:t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>Головує: Віталій СОЛЯНКО    — заступник міського голови з виконавчої роботи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Оксана ТОВКАНЬ — 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11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240"/>
        <w:gridCol w:w="5880"/>
      </w:tblGrid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0</w:t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176"/>
        <w:gridCol w:w="5944"/>
      </w:tblGrid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176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94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</w:t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855"/>
        <w:gridCol w:w="5940"/>
      </w:tblGrid>
      <w:tr>
        <w:trPr>
          <w:trHeight w:val="450" w:hRule="atLeast"/>
        </w:trPr>
        <w:tc>
          <w:tcPr>
            <w:tcW w:w="979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СОЛЯНКО Віталій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ГОРЧАКОВА Дар'я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САФОНОВА Наталія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-начальник фінансового управління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МАКІДА Валентина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-головний спеціаліст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ХОМІК Олексій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юридичного відділу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1. Про формування української національної ідентичності в закладах культури Покровської міської територіальної громади та затвердження Плану заходів. </w:t>
        <w:tab/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  <w:t xml:space="preserve">2.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Питання - у різному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FF0000"/>
          <w:spacing w:val="0"/>
          <w:sz w:val="24"/>
          <w:szCs w:val="24"/>
          <w:lang w:val="uk-UA" w:eastAsia="zh-CN" w:bidi="ar-SA"/>
        </w:rPr>
        <w:t xml:space="preserve"> (розглядаємо -  38 рішень).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ab/>
        <w:t>Доповідачі: заступники міського голови з виконавчої роботи за напрямками роботи.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Головуючий відкрив засідання виконавчого комітету та оголосив регламент роботи.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 Заявники відсутні.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з основного питання та з питань у різному до              05 хвилин.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1.СЛУХАЛИ: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uk-UA"/>
        </w:rPr>
        <w:t>Про формування української національної ідентичності в закладах культури Покровської міської територіальної громади та затвердження Плану заходів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начальника фінансового управління Наталію САФОНОВУ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lang w:val="uk-UA" w:eastAsia="ru-RU"/>
        </w:rPr>
        <w:t>№ 216/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lang w:val="uk-UA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lang w:val="uk-UA" w:eastAsia="ru-RU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2.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Про делегування представника до складу Регіонального молодіжного конгресу Дніпропетровської області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>по даному питанню заслухали 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217/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3.СЛУХАЛИ: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Про затвердження графіку проведення перевірок виконання умов договорів купівлі-продажу на III квартал 2026 року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218/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trike w:val="false"/>
          <w:dstrike w:val="false"/>
          <w:color w:val="000000"/>
          <w:spacing w:val="1"/>
          <w:kern w:val="0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Про внесення змін до договору оренди комунального майна, укладеного з Південним міжрегіональним управлінням Міністерства юстиції (м. Одеса) від 24.01.2022 № 01/22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219/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 СЛУХАЛИ: 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включення до Переліку першого типу вбудованого нежитлового приміщення, розташованого за адресою: вул.Тикви, буд.2, м.Покров, Нікопольський р-н, Дніпропетровська обл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220/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6.СЛУХАЛИ:  Про продовження договору оренди комунального майна №32 від 04.08.2021, укладеного з Товариством з обмеженою відповідальністю Медичною компанією “Іріс”, без проведення аукціону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221/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7.СЛУХАЛИ: Про відмову у продовженні договору оренди комунального майна №100/21/20Г/о від 11.08.2021, укладеного з Державною установою “Центр Пробації”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222/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8.СЛУХАЛИ: Про встановлення зручного для населення режиму роботи магазину «Дивоцін», який розташований за адресою: вул. Карпатська, буд. 1, м. Покров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223/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9.СЛУХАЛИ:  Про встановлення зручного для населення режиму роботи об’єкта торгівлі “Преса”, який розташований за адресою: вул. Центральна, буд. 47а, м. Покров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224/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10.СЛУХАЛИ: Про погодження продовження строку користування місцем розміщення тимчасової споруди біля будинку № 1 на вул. Карпатській ФОП Паніхіну В. О.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225/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11.СЛУХАЛИ: Про погодження продовження строку користування місцем розміщення тимчасової споруди біля будинку №15 на вул.Київській ФОП Бойко Л.В.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12.СЛУХАЛИ: Про погодження продовження строку користування місцем розміщення тимчасової споруди на вул. Верхній ФОП Антоненко О.Ю.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27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40" w:before="0" w:after="0"/>
        <w:jc w:val="both"/>
        <w:rPr>
          <w:rStyle w:val="Strong1"/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13.СЛУХАЛИ:  Про погодження продовження строку користування місцем розміщення тимчасової споруди біля будинку № 2 на вул. Героїв-рятувальників ТОВ «Промстройпрогрес»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28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14.СЛУХАЛИ: Про погодження продовження строку користування місцем розміщення групи тимчасових споруд біля будівлі № 15 на вул. Малки ТОВ «Стройінвест»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29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15.СЛУХАЛИ: </w:t>
      </w:r>
      <w:r>
        <w:rPr>
          <w:rStyle w:val="Strong1"/>
          <w:rFonts w:eastAsia="Calibri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погодження продовження строку користування місцем розміщення тимчасової споруди в районі існуючих гаражів на вул. </w:t>
      </w:r>
      <w:r>
        <w:rPr>
          <w:rStyle w:val="Strong1"/>
          <w:rFonts w:eastAsia="Calibri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1"/>
          <w:kern w:val="0"/>
          <w:sz w:val="24"/>
          <w:szCs w:val="24"/>
          <w:shd w:fill="auto" w:val="clear"/>
          <w:lang w:val="uk-UA" w:eastAsia="ru-RU" w:bidi="ar-SA"/>
        </w:rPr>
        <w:t>ХХХ</w:t>
      </w:r>
      <w:r>
        <w:rPr>
          <w:rStyle w:val="Strong1"/>
          <w:rFonts w:eastAsia="Calibri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  Новаковському О. Л.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30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16.СЛУХАЛИ: Про погодження продовження строку користування місцем розміщення тимчасової споруди в районі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на вул.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Юшку Є.С.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23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1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17.СЛУХАЛИ: Про погодження продовження строку користування місцем розміщення тимчасової споруди біля будинку №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на вул.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Сокур О.І.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23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18.СЛУХАЛИ: Про погодження продовження строку користування місцем розміщення тимчасової споруди біля будинку №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на вул.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Сокуру Р.О. 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23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3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19.СЛУХАЛИ: Про затвердження проєктно-кошторисної документації по об’єкту: «Капітальний ремонт магістрального трубопроводу ДУ 400мм по вул. Тикви (ділянка від вул. Соборна до вул. Джонсона) в м. Покров Нікопольського району Дніпропетровської області»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23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4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20.СЛУХАЛИ: Про затвердження рішення № 9 від 25.05.2026 Комісії з розгляду питань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 на території Покровської міської територіальної громади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23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5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21.СЛУХАЛИ:  Про затвердження рішення №21 від 25.05.2026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36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22.СЛУХАЛИ: Про затвердження рішення №22 від 25.05.2026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37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23.СЛУХАЛИ: Про затвердження рішення №23 від 25.05.2026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38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24.СЛУХАЛИ:  Про укладання договору найму житлового приміщення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39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25.СЛУХАЛИ:  Про переукладання договору найму житлового приміщення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24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0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26.СЛУХАЛИ: Про взяття на облік громадян, які потребують поліпшення житло 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24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1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27.СЛУХАЛИ:  Про взяття на облік громадян, які потребують поліпшення житло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24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28.СЛУХАЛИ: Про взяття на облік громадян, які потребують поліпшення житло 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24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3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29.СЛУХАЛИ:  Про зняття громадян з квартирної черги.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24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4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30.СЛУХАЛИ: Про виключення жилого приміщення з числа службових 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24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5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31.СЛУХАЛИ:  Про відпуск матеріальних цінностей з міського матеріального резерву Покровської міської територіальної громади для </w:t>
      </w:r>
      <w:r>
        <w:rPr>
          <w:rStyle w:val="Strong1"/>
          <w:rFonts w:eastAsia="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2"/>
          <w:position w:val="0"/>
          <w:sz w:val="24"/>
          <w:szCs w:val="24"/>
          <w:u w:val="none"/>
          <w:shd w:fill="auto" w:val="clear"/>
          <w:vertAlign w:val="baseline"/>
          <w:lang w:val="uk-UA" w:eastAsia="ru-RU" w:bidi="ar-SA"/>
        </w:rPr>
        <w:t xml:space="preserve">забезпечення виконання завдань покладених </w:t>
      </w:r>
      <w:r>
        <w:rPr>
          <w:rStyle w:val="Strong1"/>
          <w:rFonts w:eastAsia="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4"/>
          <w:szCs w:val="24"/>
          <w:u w:val="none"/>
          <w:shd w:fill="auto" w:val="clear"/>
          <w:vertAlign w:val="baseline"/>
          <w:lang w:val="uk-UA" w:eastAsia="ru-RU" w:bidi="ar-SA"/>
        </w:rPr>
        <w:t>медичні заклади</w:t>
      </w:r>
      <w:r>
        <w:rPr>
          <w:rStyle w:val="Strong1"/>
          <w:rFonts w:eastAsia="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2"/>
          <w:position w:val="0"/>
          <w:sz w:val="24"/>
          <w:szCs w:val="24"/>
          <w:u w:val="none"/>
          <w:shd w:fill="auto" w:val="clear"/>
          <w:vertAlign w:val="baseline"/>
          <w:lang w:val="uk-UA" w:eastAsia="ru-RU" w:bidi="ar-SA"/>
        </w:rPr>
        <w:t>, недопущення виникнення надзвичайних ситуацій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46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32.СЛУХАЛИ:  Про надання матеріальної грошової допомоги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47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33.СЛУХАЛИ:  Про подання до Покровського міського суду Дніпропетровської області заяви про звільнення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хх.хх.хххх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від повноважень опікуна по відношенню до недієздатної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хх.хх.хххх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48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34.СЛУХАЛИ: Про надання статусу дитини, яка постраждала внаслідок воєнних дій та збройних конфліктів, неповнолітній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хх.хх.хххх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49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35.СЛУХАЛИ: Про визначення місця проживання малолітньої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хх.хх.хххх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з матір’ю,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хх.хх.хххх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25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0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36.СЛУХАЛИ:  Про втрату неповнолітнім статусу дитини, позбавленої батьківського піклування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25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1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37.СЛУХАЛИ: Про припинення піклування та звільнення від здійснення повноважень піклувальника 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25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2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38.СЛУХАЛИ: Про затвердження висновку органу опіки та піклування Покровської міської ради Дніпропетровської області щодо встановлення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хх.хх.хххх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способів участі у вихованні малолітнього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хх.хх.хххх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25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3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39.СЛУХАЛИ: 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хх.хх.хххх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відносно малолітніх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хх.хх.хххх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хх.хх.хххх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року народження та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хх.хх.хххх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відносно малолітньої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,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хх.хх.хххх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25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en-US" w:eastAsia="ru-RU" w:bidi="ar-SA"/>
        </w:rPr>
        <w:t>4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виконавчої роботи </w:t>
        <w:tab/>
        <w:tab/>
        <w:tab/>
        <w:tab/>
        <w:tab/>
        <w:tab/>
        <w:tab/>
        <w:t>Віталій СОЛЯНКО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right="0"/>
        <w:jc w:val="both"/>
        <w:rPr>
          <w:rFonts w:ascii="Times New Roman" w:hAnsi="Times New Roman"/>
          <w:lang w:val="uk-UA" w:eastAsia="zh-CN"/>
        </w:rPr>
      </w:pPr>
      <w:r>
        <w:rPr>
          <w:rFonts w:ascii="Times New Roman" w:hAnsi="Times New Roman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засідання виконавчого комітету</w:t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27.05.2026 № 17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ПЕРЕЛІК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рішень чергового засідання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виконавчого комітету Покровської міської ради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27.05.2026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5"/>
        <w:gridCol w:w="1470"/>
        <w:gridCol w:w="5833"/>
        <w:gridCol w:w="1847"/>
      </w:tblGrid>
      <w:tr>
        <w:trPr>
          <w:trHeight w:val="450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216/06-53-26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Про формування української національної ідентичності в закладах культури Покровської міської територіальної громади та затвердження Плану заходів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217/06-53-26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uk-UA"/>
              </w:rPr>
              <w:t>Про делегування представника до складу Регіонального молодіжного конгресу Дніпропетровської області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графіку проведення перевірок виконання умов договорів купівлі-продажу на III квартал 2026 року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внесення змін до договору оренди комунального майна, укладеного з Південним міжрегіональним управлінням Міністерства юстиції (м. Одеса) від 24.01.2022 № 01/22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включення до Переліку першого типу вбудованого нежитлового приміщення, розташованого за адресою: вул.Тикви, буд.2, м.Покров, Нікопольський р-н, Дніпропетровська обл.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продовження договору оренди комунального майна №32 від 04.08.2021, укладеного з Товариством з обмеженою відповідальністю Медичною компанією “Іріс”, без проведення аукціону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222/06-53-26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відмову у продовженні договору оренди комунального майна №100/21/20Г/о від 11.08.2021, укладеного з Державною установою “Центр Пробації”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223/06-53-26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встановлення зручного для населення режиму роботи магазину «Дивоцін», який розташований за адресою: вул. Карпатська, буд. 1, м. Покров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224/06-53-26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встановлення зручного для населення режиму роботи об’єкта торгівлі “Преса”, який розташований за адресою: вул. Центральна, буд. 47а, м. Покров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225/06-53-26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Про погодження продовження строку користування місцем розміщення тимчасової споруди біля будинку № 1 на вул. Карпатській ФОП Паніхіну В. О.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226/06-53-26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>Про погодження продовження строку користування місцем розміщення тимчасової споруди біля будинку №15 на вул.Київській ФОП Бойко Л.В.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227/06-53-26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>Про погодження продовження строку користування місцем розміщення тимчасової споруди на вул. Верхній ФОП Антоненко О.Ю.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228/06-53-26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>Про погодження продовження строку користування місцем розміщення тимчасової споруди біля будинку №2 на вул. Героїв-рятувальників ТОВ «Промст-ройпрогрес»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229/06-53-26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>Про погодження продовження строку користування місцем розміщення групи тимчасових споруд біля будівлі № 15 на вул. Малки ТОВ «Стройінвест»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230/06-53-26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2"/>
              <w:tabs>
                <w:tab w:val="clear" w:pos="720"/>
                <w:tab w:val="left" w:pos="11340" w:leader="none"/>
              </w:tabs>
              <w:bidi w:val="0"/>
              <w:spacing w:lineRule="auto" w:line="240" w:before="0" w:after="0"/>
              <w:ind w:right="-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  <w:shd w:fill="auto" w:val="clear"/>
                <w:lang w:val="uk-UA"/>
              </w:rPr>
              <w:t xml:space="preserve">Про погодження продовження строку користування місцем розміщення тимчасової споруди в районі існуючих гаражів на вул. </w:t>
            </w:r>
            <w:r>
              <w:rPr>
                <w:rFonts w:eastAsia="Calibri" w:cs="Times New Roman"/>
                <w:color w:val="auto"/>
                <w:sz w:val="24"/>
                <w:szCs w:val="24"/>
                <w:shd w:fill="auto" w:val="clear"/>
                <w:lang w:val="uk-UA"/>
              </w:rPr>
              <w:t>ХХХ</w:t>
            </w:r>
            <w:r>
              <w:rPr>
                <w:rFonts w:eastAsia="Calibri" w:cs="Times New Roman"/>
                <w:color w:val="auto"/>
                <w:sz w:val="24"/>
                <w:szCs w:val="24"/>
                <w:shd w:fill="auto" w:val="clear"/>
                <w:lang w:val="uk-UA"/>
              </w:rPr>
              <w:t xml:space="preserve"> Новаковському О. Л.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231/06-53-26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2"/>
              <w:tabs>
                <w:tab w:val="clear" w:pos="720"/>
                <w:tab w:val="left" w:pos="11340" w:leader="none"/>
              </w:tabs>
              <w:bidi w:val="0"/>
              <w:spacing w:lineRule="auto" w:line="240" w:before="0" w:after="0"/>
              <w:ind w:right="-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 xml:space="preserve">Про погодження продовження строку користування місцем розміщення тимчасової споруди в районі </w:t>
            </w: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>ХХХ</w:t>
            </w: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 xml:space="preserve"> на вул. </w:t>
            </w: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 xml:space="preserve">ХХХ </w:t>
            </w: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>Юшку Є. С.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232/06-53-26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Про погодження продовження строку користування місцем розміщення тимчасової споруди біля будинку №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х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 xml:space="preserve"> на вул. 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 xml:space="preserve">ХХХ 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Сокур О. І.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233/06-53-26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2"/>
              <w:tabs>
                <w:tab w:val="clear" w:pos="720"/>
                <w:tab w:val="left" w:pos="11340" w:leader="none"/>
              </w:tabs>
              <w:bidi w:val="0"/>
              <w:spacing w:lineRule="auto" w:line="240" w:before="0" w:after="0"/>
              <w:ind w:right="-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 xml:space="preserve">Про погодження продовження строку користування місцем розміщення тимчасової споруди біля будинку № </w:t>
            </w: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 xml:space="preserve">х </w:t>
            </w: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>на вул. .</w:t>
            </w: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>ХХХ</w:t>
            </w:r>
            <w:r>
              <w:rPr>
                <w:rFonts w:cs="Times New Roman"/>
                <w:sz w:val="24"/>
                <w:szCs w:val="24"/>
                <w:shd w:fill="auto" w:val="clear"/>
                <w:lang w:val="uk-UA"/>
              </w:rPr>
              <w:t xml:space="preserve"> Сокуру Р. О.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234/06-53-26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проєктно-кошторисної документації по об’єкту: «Капітальний ремонт магістрального трубопроводу ДУ 400мм по вул. Тикви (ділянка від вул. Соборна до вул. Джонсона) в м. Покров Нікопольського району Дніпропетровської області»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235/06-53-26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рішення № 9 від 25.05.2026 Комісії з розгляду питань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 на території Покровської міської територіальної громади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236/06-53-26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рішення №21 від 25.05.2026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237/06-53-26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рішення №22 від 25.05.2026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238/06-53-26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рішення №23 від 25.05.2026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Віталій СОЛЯНКО</w:t>
            </w:r>
          </w:p>
        </w:tc>
      </w:tr>
      <w:tr>
        <w:trPr>
          <w:trHeight w:val="579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239/06-53-26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укладання договору найму житлового приміщення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505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240/06-53-26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переукладання договору найму житлового приміщення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52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241/06-53-26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227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Про взяття на облік громадян, які потребують поліпшення житло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586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242/06-53-26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227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Про взяття на облік громадян, які потребують поліпшення житло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505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243/06-53-26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227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Про взяття на облік громадян, які потребують поліпшення житло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52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244/06-53-26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227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Про зняття громадян з квартирної черги.</w:t>
            </w:r>
          </w:p>
          <w:p>
            <w:pPr>
              <w:pStyle w:val="Normal"/>
              <w:spacing w:lineRule="auto" w:line="240" w:before="0" w:after="0"/>
              <w:ind w:right="-227"/>
              <w:rPr>
                <w:rFonts w:ascii="Times New Roman" w:hAnsi="Times New Roman" w:cs="Times New Roman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514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245/06-53-26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227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Про виключення жилого приміщення з числа</w:t>
            </w:r>
          </w:p>
          <w:p>
            <w:pPr>
              <w:pStyle w:val="Normal"/>
              <w:spacing w:lineRule="auto" w:line="240" w:before="0" w:after="0"/>
              <w:ind w:right="-227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службових.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246/06-53-26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 xml:space="preserve">Про відпуск матеріальних цінностей з міського матеріального резерву Покровської міської територіальної громади для </w:t>
            </w: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kern w:val="2"/>
                <w:position w:val="0"/>
                <w:sz w:val="24"/>
                <w:szCs w:val="24"/>
                <w:u w:val="none"/>
                <w:shd w:fill="auto" w:val="clear"/>
                <w:vertAlign w:val="baseline"/>
                <w:lang w:val="uk-UA" w:eastAsia="ru-RU" w:bidi="ar-SA"/>
              </w:rPr>
              <w:t xml:space="preserve">забезпечення виконання завдань покладених </w:t>
            </w: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kern w:val="2"/>
                <w:position w:val="0"/>
                <w:sz w:val="24"/>
                <w:szCs w:val="24"/>
                <w:u w:val="none"/>
                <w:shd w:fill="auto" w:val="clear"/>
                <w:vertAlign w:val="baseline"/>
                <w:lang w:val="uk-UA"/>
              </w:rPr>
              <w:t>медичні заклади</w:t>
            </w: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kern w:val="2"/>
                <w:position w:val="0"/>
                <w:sz w:val="24"/>
                <w:szCs w:val="24"/>
                <w:u w:val="none"/>
                <w:shd w:fill="auto" w:val="clear"/>
                <w:vertAlign w:val="baseline"/>
                <w:lang w:val="uk-UA" w:eastAsia="ru-RU" w:bidi="ar-SA"/>
              </w:rPr>
              <w:t>, недопущення виникнення надзвичайних ситуацій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Сергій КУРАСОВ</w:t>
            </w:r>
          </w:p>
        </w:tc>
      </w:tr>
      <w:tr>
        <w:trPr>
          <w:trHeight w:val="535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247/06-53-26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Про надання матеріальної грошової допомоги</w:t>
            </w:r>
          </w:p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91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із закритим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подання до Покровського міського суду Дніпропетровської області заяви про звільнення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/>
              </w:rPr>
              <w:t xml:space="preserve"> року народження від повноважень опікуна по відношенню до недієздатної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/>
              </w:rPr>
              <w:t xml:space="preserve"> року народження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року народження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визначення місця проживання малолітньої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року народження з матір’ю,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року народження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591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втрату неповнолітнім статусу дитини, позбавленої батьківського піклування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460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припинення піклування та звільнення від здійснення повноважень піклувальника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висновку органу опіки та піклування Покровської міської ради Дніпропетровської області щодо встановлення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року народження способів участі у вихованні малолітнього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року народження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/06-53-26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року народження відносно малолітніх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року народження,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року народження та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року народження відносно малолітньої 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Style w:val="Strong1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року народження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Дар`я ГОРЧАКОВА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  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Начальник загального відділу </w:t>
        <w:tab/>
        <w:tab/>
        <w:tab/>
        <w:tab/>
        <w:t xml:space="preserve">       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6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7">
    <w:name w:val="Выделение жирным"/>
    <w:qFormat/>
    <w:rPr>
      <w:b/>
      <w:bCs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tyle18">
    <w:name w:val="Символ нумерації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9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>
      <w:rFonts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20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Style21">
    <w:name w:val="Текст Знак"/>
    <w:qFormat/>
    <w:rPr>
      <w:rFonts w:ascii="Courier New" w:hAnsi="Courier New" w:cs="Courier New"/>
    </w:rPr>
  </w:style>
  <w:style w:type="character" w:styleId="Style22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HTML">
    <w:name w:val="Стандартний HTML Знак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24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BodyTextIndent">
    <w:name w:val="Body Text Indent"/>
    <w:basedOn w:val="Normal"/>
    <w:pPr>
      <w:suppressAutoHyphens w:val="false"/>
      <w:spacing w:before="0" w:after="120"/>
      <w:ind w:hanging="0" w:left="283" w:right="0"/>
    </w:pPr>
    <w:rPr/>
  </w:style>
  <w:style w:type="paragraph" w:styleId="Style26">
    <w:name w:val="Обычный (веб)"/>
    <w:basedOn w:val="Normal"/>
    <w:qFormat/>
    <w:pPr>
      <w:spacing w:before="280" w:after="280"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29">
    <w:name w:val="Без интервала"/>
    <w:qFormat/>
    <w:pPr>
      <w:widowControl/>
      <w:suppressAutoHyphens w:val="true"/>
      <w:overflowPunct w:val="true"/>
      <w:bidi w:val="0"/>
      <w:spacing w:before="0" w:after="0"/>
      <w:ind w:hanging="0" w:left="-34" w:right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0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1">
    <w:name w:val="Вміст таблиці"/>
    <w:basedOn w:val="Normal"/>
    <w:qFormat/>
    <w:pPr>
      <w:widowControl w:val="false"/>
      <w:suppressLineNumbers/>
    </w:pPr>
    <w:rPr/>
  </w:style>
  <w:style w:type="paragraph" w:styleId="Style32">
    <w:name w:val="Заголовок таблиці"/>
    <w:basedOn w:val="Style31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3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hanging="0" w:left="708" w:right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Style34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35">
    <w:name w:val="Текст выноски"/>
    <w:basedOn w:val="Normal"/>
    <w:qFormat/>
    <w:pPr/>
    <w:rPr>
      <w:rFonts w:ascii="Tahoma" w:hAnsi="Tahoma" w:eastAsia="WenQuanYi Micro Hei" w:cs="Mangal"/>
      <w:sz w:val="16"/>
      <w:szCs w:val="14"/>
      <w:lang w:val="ru-RU"/>
    </w:rPr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21">
    <w:name w:val="Основной текст 21"/>
    <w:basedOn w:val="Normal"/>
    <w:qFormat/>
    <w:pPr>
      <w:ind w:firstLine="720"/>
      <w:jc w:val="center"/>
    </w:pPr>
    <w:rPr/>
  </w:style>
  <w:style w:type="paragraph" w:styleId="Style36">
    <w:name w:val="Абзац списка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22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HTMLPreformatted">
    <w:name w:val="HTML Preformatted"/>
    <w:basedOn w:val="Normal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7619</TotalTime>
  <Application>LibreOffice/26.2.1.2$Windows_X86_64 LibreOffice_project/620$Build-2</Application>
  <AppVersion>15.0000</AppVersion>
  <Pages>14</Pages>
  <Words>3325</Words>
  <Characters>22809</Characters>
  <CharactersWithSpaces>26085</CharactersWithSpaces>
  <Paragraphs>406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2026-05-28T11:36:14Z</cp:lastPrinted>
  <dcterms:modified xsi:type="dcterms:W3CDTF">2026-05-28T13:47:05Z</dcterms:modified>
  <cp:revision>1234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