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22.xml" ContentType="application/vnd.openxmlformats-officedocument.wordprocessingml.header+xml"/>
  <Override PartName="/word/document.xml" ContentType="application/vnd.openxmlformats-officedocument.wordprocessingml.document.main+xml"/>
  <Override PartName="/word/header19.xml" ContentType="application/vnd.openxmlformats-officedocument.wordprocessingml.header+xml"/>
  <Override PartName="/word/header12.xml" ContentType="application/vnd.openxmlformats-officedocument.wordprocessingml.header+xml"/>
  <Override PartName="/word/drawings/drawing1.xml" ContentType="application/vnd.openxmlformats-officedocument.drawingml.chartshapes+xml"/>
  <Override PartName="/word/header21.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numbering.xml" ContentType="application/vnd.openxmlformats-officedocument.wordprocessingml.number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theme/theme1.xml" ContentType="application/vnd.openxmlformats-officedocument.theme+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drawing>
          <wp:anchor distT="0" distB="0" distL="0" distR="0" simplePos="0" relativeHeight="2" behindDoc="0" locked="0" layoutInCell="0" allowOverlap="1">
            <wp:simplePos x="0" y="0"/>
            <wp:positionH relativeFrom="column">
              <wp:posOffset>1542415</wp:posOffset>
            </wp:positionH>
            <wp:positionV relativeFrom="paragraph">
              <wp:posOffset>-10795</wp:posOffset>
            </wp:positionV>
            <wp:extent cx="2791460" cy="2911475"/>
            <wp:effectExtent l="0" t="0" r="0" b="0"/>
            <wp:wrapSquare wrapText="largest"/>
            <wp:docPr id="1" name="Зображенн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1"/>
                    <pic:cNvPicPr>
                      <a:picLocks noChangeAspect="1" noChangeArrowheads="1"/>
                    </pic:cNvPicPr>
                  </pic:nvPicPr>
                  <pic:blipFill>
                    <a:blip r:embed="rId2"/>
                    <a:stretch>
                      <a:fillRect/>
                    </a:stretch>
                  </pic:blipFill>
                  <pic:spPr bwMode="auto">
                    <a:xfrm>
                      <a:off x="0" y="0"/>
                      <a:ext cx="2791460" cy="2911475"/>
                    </a:xfrm>
                    <a:prstGeom prst="rect">
                      <a:avLst/>
                    </a:prstGeom>
                    <a:noFill/>
                  </pic:spPr>
                </pic:pic>
              </a:graphicData>
            </a:graphic>
          </wp:anchor>
        </w:drawing>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t>Муніципальний енергетичний план</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t xml:space="preserve">Покровської </w:t>
      </w:r>
      <w:r>
        <w:rPr>
          <w:rFonts w:eastAsia="Times New Roman" w:cs="Times New Roman" w:ascii="Times New Roman" w:hAnsi="Times New Roman"/>
          <w:b/>
          <w:color w:val="000000"/>
          <w:kern w:val="0"/>
          <w:sz w:val="44"/>
          <w:szCs w:val="44"/>
          <w:lang w:eastAsia="uk-UA"/>
        </w:rPr>
        <w:t xml:space="preserve">міської  </w:t>
      </w:r>
      <w:r>
        <w:rPr>
          <w:rFonts w:eastAsia="Times New Roman" w:cs="Times New Roman" w:ascii="Times New Roman" w:hAnsi="Times New Roman"/>
          <w:b/>
          <w:color w:val="000000"/>
          <w:kern w:val="0"/>
          <w:sz w:val="44"/>
          <w:szCs w:val="44"/>
          <w:lang w:eastAsia="uk-UA"/>
        </w:rPr>
        <w:t>територіальної громади</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shd w:fill="auto" w:val="clear"/>
          <w:lang w:eastAsia="uk-UA"/>
        </w:rPr>
      </w:pPr>
      <w:r>
        <w:rPr>
          <w:rFonts w:eastAsia="Times New Roman" w:cs="Times New Roman" w:ascii="Times New Roman" w:hAnsi="Times New Roman"/>
          <w:b/>
          <w:color w:val="000000"/>
          <w:kern w:val="0"/>
          <w:sz w:val="44"/>
          <w:szCs w:val="44"/>
          <w:shd w:fill="auto" w:val="clear"/>
          <w:lang w:eastAsia="uk-UA"/>
        </w:rPr>
        <w:t>Дніпропетровської області</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shd w:fill="auto" w:val="clear"/>
          <w:lang w:eastAsia="uk-UA"/>
        </w:rPr>
      </w:pPr>
      <w:r>
        <w:rPr>
          <w:rFonts w:eastAsia="Times New Roman" w:cs="Times New Roman" w:ascii="Times New Roman" w:hAnsi="Times New Roman"/>
          <w:b/>
          <w:color w:val="000000"/>
          <w:kern w:val="0"/>
          <w:sz w:val="44"/>
          <w:szCs w:val="44"/>
          <w:shd w:fill="auto" w:val="clear"/>
          <w:lang w:eastAsia="uk-UA"/>
        </w:rPr>
        <w:t>на період до 2030 року включно</w:t>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shd w:fill="auto" w:val="clear"/>
          <w:lang w:eastAsia="uk-UA"/>
        </w:rPr>
      </w:pPr>
      <w:r>
        <w:rPr>
          <w:rFonts w:eastAsia="Times New Roman" w:cs="Times New Roman" w:ascii="Times New Roman" w:hAnsi="Times New Roman"/>
          <w:b/>
          <w:color w:val="000000"/>
          <w:kern w:val="0"/>
          <w:sz w:val="44"/>
          <w:szCs w:val="44"/>
          <w:shd w:fill="auto" w:val="clear"/>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44"/>
          <w:szCs w:val="44"/>
          <w:lang w:eastAsia="uk-UA"/>
        </w:rPr>
      </w:pPr>
      <w:r>
        <w:rPr>
          <w:rFonts w:eastAsia="Times New Roman" w:cs="Times New Roman" w:ascii="Times New Roman" w:hAnsi="Times New Roman"/>
          <w:b/>
          <w:color w:val="000000"/>
          <w:kern w:val="0"/>
          <w:sz w:val="44"/>
          <w:szCs w:val="44"/>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bCs/>
          <w:color w:val="000000"/>
          <w:kern w:val="0"/>
          <w:sz w:val="28"/>
          <w:szCs w:val="28"/>
          <w:lang w:eastAsia="uk-UA"/>
        </w:rPr>
        <w:t>ЗМІСТ</w:t>
      </w:r>
    </w:p>
    <w:tbl>
      <w:tblPr>
        <w:tblW w:w="5000" w:type="pct"/>
        <w:jc w:val="start"/>
        <w:tblInd w:w="-5" w:type="dxa"/>
        <w:tblLayout w:type="fixed"/>
        <w:tblCellMar>
          <w:top w:w="55" w:type="dxa"/>
          <w:start w:w="55" w:type="dxa"/>
          <w:bottom w:w="55" w:type="dxa"/>
          <w:end w:w="55" w:type="dxa"/>
        </w:tblCellMar>
      </w:tblPr>
      <w:tblGrid>
        <w:gridCol w:w="8443"/>
        <w:gridCol w:w="912"/>
      </w:tblGrid>
      <w:tr>
        <w:trPr/>
        <w:tc>
          <w:tcPr>
            <w:tcW w:w="8443" w:type="dxa"/>
            <w:tcBorders>
              <w:top w:val="single" w:sz="4" w:space="0" w:color="000000"/>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ВСТУП</w:t>
            </w:r>
          </w:p>
        </w:tc>
        <w:tc>
          <w:tcPr>
            <w:tcW w:w="91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1. РЕЗЮМЕ 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 xml:space="preserve">2. РЕЗЮМЕ ВИХІДНОГО СТАНУ ЕНЕРГЕТИЧНОГО РОЗВИТКУ </w:t>
            </w:r>
            <w:r>
              <w:rPr>
                <w:rFonts w:eastAsia="Times New Roman" w:cs="Times New Roman" w:ascii="Times New Roman" w:hAnsi="Times New Roman"/>
                <w:b/>
                <w:bCs/>
                <w:color w:val="000000"/>
                <w:kern w:val="0"/>
                <w:sz w:val="28"/>
                <w:szCs w:val="28"/>
                <w:shd w:fill="auto" w:val="clear"/>
                <w:lang w:eastAsia="uk-UA"/>
              </w:rPr>
              <w:t xml:space="preserve">ПОКРОВСЬКОЇ МІСЬКОЇ ТЕРИТОРІАЛЬНОЇ </w:t>
            </w:r>
            <w:r>
              <w:rPr>
                <w:rFonts w:eastAsia="Times New Roman" w:cs="Times New Roman" w:ascii="Times New Roman" w:hAnsi="Times New Roman"/>
                <w:b/>
                <w:bCs/>
                <w:color w:val="000000"/>
                <w:kern w:val="0"/>
                <w:sz w:val="28"/>
                <w:szCs w:val="28"/>
                <w:shd w:fill="auto" w:val="clear"/>
                <w:lang w:eastAsia="uk-UA"/>
              </w:rPr>
              <w:t xml:space="preserve">ГРОМАДИ </w:t>
            </w:r>
            <w:r>
              <w:rPr>
                <w:rFonts w:eastAsia="Times New Roman" w:cs="Times New Roman" w:ascii="Times New Roman" w:hAnsi="Times New Roman"/>
                <w:b/>
                <w:bCs/>
                <w:color w:val="000000"/>
                <w:kern w:val="0"/>
                <w:sz w:val="28"/>
                <w:szCs w:val="28"/>
                <w:shd w:fill="auto" w:val="clear"/>
                <w:lang w:eastAsia="uk-UA"/>
              </w:rPr>
              <w:t>ДНІПРОПЕТРОВСЬКОЇ ОБЛАСТІ</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color w:val="000000"/>
                <w:kern w:val="0"/>
                <w:sz w:val="28"/>
                <w:szCs w:val="28"/>
                <w:lang w:eastAsia="uk-UA"/>
              </w:rPr>
            </w:pPr>
            <w:hyperlink w:anchor="_Toc195651472">
              <w:r>
                <w:rPr>
                  <w:rStyle w:val="Style14"/>
                  <w:rFonts w:eastAsia="Times New Roman" w:cs="Times New Roman" w:ascii="Times New Roman" w:hAnsi="Times New Roman"/>
                  <w:b/>
                  <w:bCs/>
                  <w:vanish w:val="false"/>
                  <w:color w:val="000000"/>
                  <w:kern w:val="0"/>
                  <w:sz w:val="28"/>
                  <w:szCs w:val="28"/>
                  <w:shd w:fill="auto" w:val="clear"/>
                  <w:lang w:eastAsia="uk-UA"/>
                </w:rPr>
                <w:t>2.1 ЗАГАЛЬН</w:t>
              </w:r>
              <w:r>
                <w:rPr>
                  <w:rStyle w:val="Style14"/>
                  <w:rFonts w:eastAsia="Times New Roman" w:cs="Times New Roman" w:ascii="Times New Roman" w:hAnsi="Times New Roman"/>
                  <w:b/>
                  <w:bCs/>
                  <w:vanish w:val="false"/>
                  <w:color w:val="000000"/>
                  <w:kern w:val="0"/>
                  <w:sz w:val="28"/>
                  <w:szCs w:val="28"/>
                  <w:shd w:fill="auto" w:val="clear"/>
                  <w:lang w:eastAsia="uk-UA"/>
                </w:rPr>
                <w:t>І</w:t>
              </w:r>
              <w:r>
                <w:rPr>
                  <w:rStyle w:val="Style14"/>
                  <w:rFonts w:eastAsia="Times New Roman" w:cs="Times New Roman" w:ascii="Times New Roman" w:hAnsi="Times New Roman"/>
                  <w:b/>
                  <w:bCs/>
                  <w:vanish w:val="false"/>
                  <w:color w:val="000000"/>
                  <w:kern w:val="0"/>
                  <w:sz w:val="28"/>
                  <w:szCs w:val="28"/>
                  <w:shd w:fill="auto" w:val="clear"/>
                  <w:lang w:eastAsia="uk-UA"/>
                </w:rPr>
                <w:t xml:space="preserve"> ХАРАКТЕРИСТИК</w:t>
              </w:r>
              <w:r>
                <w:rPr>
                  <w:rStyle w:val="Style14"/>
                  <w:rFonts w:eastAsia="Times New Roman" w:cs="Times New Roman" w:ascii="Times New Roman" w:hAnsi="Times New Roman"/>
                  <w:b/>
                  <w:bCs/>
                  <w:vanish w:val="false"/>
                  <w:color w:val="000000"/>
                  <w:kern w:val="0"/>
                  <w:sz w:val="28"/>
                  <w:szCs w:val="28"/>
                  <w:shd w:fill="auto" w:val="clear"/>
                  <w:lang w:eastAsia="uk-UA"/>
                </w:rPr>
                <w:t>И</w:t>
              </w:r>
              <w:r>
                <w:rPr>
                  <w:webHidden/>
                </w:rPr>
                <w:fldChar w:fldCharType="begin"/>
              </w:r>
              <w:r>
                <w:rPr>
                  <w:webHidden/>
                </w:rPr>
                <w:instrText xml:space="preserve">PAGEREF _Toc195651472 \h</w:instrText>
              </w:r>
              <w:r>
                <w:rPr>
                  <w:webHidden/>
                </w:rPr>
                <w:fldChar w:fldCharType="separate"/>
              </w:r>
              <w:r>
                <w:rPr>
                  <w:rStyle w:val="Style14"/>
                  <w:rFonts w:eastAsia="Times New Roman" w:cs="Times New Roman" w:ascii="Times New Roman" w:hAnsi="Times New Roman"/>
                  <w:b/>
                  <w:bCs/>
                  <w:vanish w:val="false"/>
                  <w:color w:val="000000"/>
                  <w:kern w:val="0"/>
                  <w:sz w:val="28"/>
                  <w:szCs w:val="28"/>
                  <w:shd w:fill="auto" w:val="clear"/>
                  <w:lang w:eastAsia="uk-UA"/>
                </w:rPr>
                <w:t xml:space="preserve"> ГРОМАДИ</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2.1.1. Адміністративно-територіальний устрій</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pPr>
            <w:hyperlink w:anchor="_Toc195651474">
              <w:r>
                <w:rPr>
                  <w:rStyle w:val="Style14"/>
                  <w:rFonts w:eastAsia="Times New Roman" w:cs="Times New Roman" w:ascii="Times New Roman" w:hAnsi="Times New Roman"/>
                  <w:b/>
                  <w:bCs/>
                  <w:sz w:val="28"/>
                  <w:szCs w:val="28"/>
                </w:rPr>
                <w:t>2.1.2. Географічне положення та кліматичні умови</w:t>
              </w:r>
            </w:hyperlink>
            <w:r>
              <w:rPr>
                <w:rFonts w:eastAsia="Times New Roman" w:cs="Times New Roman" w:ascii="Times New Roman" w:hAnsi="Times New Roman"/>
                <w:b/>
                <w:bCs/>
                <w:sz w:val="28"/>
                <w:szCs w:val="28"/>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475">
              <w:r>
                <w:rPr>
                  <w:webHidden/>
                </w:rPr>
                <w:fldChar w:fldCharType="begin"/>
              </w:r>
              <w:r>
                <w:rPr>
                  <w:webHidden/>
                </w:rPr>
                <w:instrText xml:space="preserve">PAGEREF _Toc195651475 \h</w:instrText>
              </w:r>
              <w:r>
                <w:rPr>
                  <w:webHidden/>
                </w:rPr>
                <w:fldChar w:fldCharType="separate"/>
              </w:r>
              <w:r>
                <w:rPr>
                  <w:rStyle w:val="Style14"/>
                  <w:rFonts w:eastAsia="Times New Roman" w:cs="Times New Roman" w:ascii="Times New Roman" w:hAnsi="Times New Roman"/>
                  <w:b/>
                  <w:bCs/>
                  <w:sz w:val="28"/>
                  <w:szCs w:val="28"/>
                </w:rPr>
                <w:t>2.1.3. Демографічна ситуація</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476">
              <w:r>
                <w:rPr>
                  <w:webHidden/>
                </w:rPr>
                <w:fldChar w:fldCharType="begin"/>
              </w:r>
              <w:r>
                <w:rPr>
                  <w:webHidden/>
                </w:rPr>
                <w:instrText xml:space="preserve">PAGEREF _Toc195651476 \h</w:instrText>
              </w:r>
              <w:r>
                <w:rPr>
                  <w:webHidden/>
                </w:rPr>
                <w:fldChar w:fldCharType="separate"/>
              </w:r>
              <w:r>
                <w:rPr>
                  <w:rStyle w:val="Style14"/>
                  <w:rFonts w:eastAsia="Times New Roman" w:cs="Times New Roman" w:ascii="Times New Roman" w:hAnsi="Times New Roman"/>
                  <w:b/>
                  <w:bCs/>
                  <w:sz w:val="28"/>
                  <w:szCs w:val="28"/>
                </w:rPr>
                <w:t>2.1.4. Оцінка економічного потенціалу громади</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vanish w:val="false"/>
                <w:color w:val="000000"/>
                <w:kern w:val="0"/>
                <w:sz w:val="28"/>
                <w:szCs w:val="28"/>
                <w:shd w:fill="auto" w:val="clear"/>
                <w:lang w:eastAsia="uk-UA"/>
              </w:rPr>
            </w:pPr>
            <w:bookmarkStart w:id="0" w:name="_Toc181742463_копія_1_копія_1"/>
            <w:bookmarkStart w:id="1" w:name="_Toc184139682_копія_1_копія_1"/>
            <w:bookmarkStart w:id="2" w:name="_Toc195651477_копія_1_копія_1"/>
            <w:r>
              <w:rPr>
                <w:rFonts w:eastAsia="Times New Roman" w:cs="Times New Roman" w:ascii="Times New Roman" w:hAnsi="Times New Roman"/>
                <w:b/>
                <w:bCs/>
                <w:vanish w:val="false"/>
                <w:color w:val="000000"/>
                <w:kern w:val="0"/>
                <w:sz w:val="28"/>
                <w:szCs w:val="28"/>
                <w:shd w:fill="auto" w:val="clear"/>
                <w:lang w:eastAsia="uk-UA"/>
              </w:rPr>
              <w:t>2.</w:t>
            </w:r>
            <w:r>
              <w:rPr>
                <w:rFonts w:eastAsia="Times New Roman" w:cs="Times New Roman" w:ascii="Times New Roman" w:hAnsi="Times New Roman"/>
                <w:b/>
                <w:bCs/>
                <w:vanish w:val="false"/>
                <w:color w:val="000000"/>
                <w:kern w:val="0"/>
                <w:sz w:val="28"/>
                <w:szCs w:val="28"/>
                <w:shd w:fill="auto" w:val="clear"/>
                <w:lang w:eastAsia="uk-UA"/>
              </w:rPr>
              <w:t>2</w:t>
            </w:r>
            <w:r>
              <w:rPr>
                <w:rFonts w:eastAsia="Times New Roman" w:cs="Times New Roman" w:ascii="Times New Roman" w:hAnsi="Times New Roman"/>
                <w:b/>
                <w:bCs/>
                <w:vanish w:val="false"/>
                <w:color w:val="000000"/>
                <w:kern w:val="0"/>
                <w:sz w:val="28"/>
                <w:szCs w:val="28"/>
                <w:shd w:fill="auto" w:val="clear"/>
                <w:lang w:eastAsia="uk-UA"/>
              </w:rPr>
              <w:t>. АНАЛІЗ ВПЛИВІВ ТА ОБМЕЖЕНЬ</w:t>
            </w:r>
            <w:bookmarkEnd w:id="0"/>
            <w:bookmarkEnd w:id="1"/>
            <w:bookmarkEnd w:id="2"/>
            <w:r>
              <w:rPr>
                <w:rFonts w:eastAsia="Times New Roman" w:cs="Times New Roman" w:ascii="Times New Roman" w:hAnsi="Times New Roman"/>
                <w:b/>
                <w:bCs/>
                <w:vanish w:val="false"/>
                <w:color w:val="000000"/>
                <w:kern w:val="0"/>
                <w:sz w:val="28"/>
                <w:szCs w:val="28"/>
                <w:shd w:fill="auto" w:val="clear"/>
                <w:lang w:eastAsia="uk-UA"/>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bookmarkStart w:id="3" w:name="_Toc181742464_копія_1_копія_1"/>
            <w:bookmarkStart w:id="4" w:name="_Toc184139683_копія_1_копія_1"/>
            <w:bookmarkStart w:id="5" w:name="_Toc195651478_копія_1_копія_1"/>
            <w:r>
              <w:rPr>
                <w:rFonts w:eastAsia="Times New Roman" w:cs="Times New Roman" w:ascii="Times New Roman" w:hAnsi="Times New Roman"/>
                <w:b/>
                <w:bCs/>
                <w:sz w:val="28"/>
                <w:szCs w:val="28"/>
              </w:rPr>
              <w:t xml:space="preserve">2.2.1. Аналіз обмежень для сталого енергетичного розвитку території </w:t>
            </w:r>
            <w:bookmarkEnd w:id="3"/>
            <w:bookmarkEnd w:id="4"/>
            <w:bookmarkEnd w:id="5"/>
            <w:r>
              <w:rPr>
                <w:rFonts w:eastAsia="Times New Roman" w:cs="Times New Roman" w:ascii="Times New Roman" w:hAnsi="Times New Roman"/>
                <w:b/>
                <w:bCs/>
                <w:sz w:val="28"/>
                <w:szCs w:val="28"/>
              </w:rPr>
              <w:t>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bookmarkStart w:id="6" w:name="_Toc184139684_копія_1_копія_1"/>
            <w:bookmarkStart w:id="7" w:name="_Toc195651479_копія_1_копія_1"/>
            <w:bookmarkStart w:id="8" w:name="_Toc181742465_копія_1_копія_1"/>
            <w:r>
              <w:rPr>
                <w:rFonts w:eastAsia="Times New Roman" w:cs="Times New Roman" w:ascii="Times New Roman" w:hAnsi="Times New Roman"/>
                <w:b/>
                <w:bCs/>
                <w:sz w:val="28"/>
                <w:szCs w:val="28"/>
              </w:rPr>
              <w:t xml:space="preserve">2.2.2. Результат SWOT- аналізу енергетичного розвитку території Покровської міської </w:t>
            </w:r>
            <w:bookmarkEnd w:id="6"/>
            <w:bookmarkEnd w:id="7"/>
            <w:bookmarkEnd w:id="8"/>
            <w:r>
              <w:rPr>
                <w:rFonts w:eastAsia="Times New Roman" w:cs="Times New Roman" w:ascii="Times New Roman" w:hAnsi="Times New Roman"/>
                <w:b/>
                <w:bCs/>
                <w:sz w:val="28"/>
                <w:szCs w:val="28"/>
              </w:rPr>
              <w:t>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3</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bookmarkStart w:id="9" w:name="_Toc184139685_копія_1_копія_1"/>
            <w:bookmarkStart w:id="10" w:name="_Toc181742466_копія_1_копія_1"/>
            <w:bookmarkStart w:id="11" w:name="_Toc195651480_копія_1_копія_1"/>
            <w:r>
              <w:rPr>
                <w:rFonts w:eastAsia="Times New Roman" w:cs="Times New Roman" w:ascii="Times New Roman" w:hAnsi="Times New Roman"/>
                <w:b/>
                <w:bCs/>
                <w:sz w:val="28"/>
                <w:szCs w:val="28"/>
              </w:rPr>
              <w:t>2.2.3. Аналіз впливу органів місцевого самоврядування на сектори енергетичного планування та визначення секторів</w:t>
            </w:r>
            <w:bookmarkEnd w:id="9"/>
            <w:bookmarkEnd w:id="10"/>
            <w:bookmarkEnd w:id="11"/>
            <w:r>
              <w:rPr>
                <w:rFonts w:eastAsia="Times New Roman" w:cs="Times New Roman" w:ascii="Times New Roman" w:hAnsi="Times New Roman"/>
                <w:b/>
                <w:bCs/>
                <w:sz w:val="28"/>
                <w:szCs w:val="28"/>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pPr>
            <w:hyperlink w:anchor="_Toc195651481">
              <w:r>
                <w:rPr>
                  <w:rStyle w:val="Style14"/>
                  <w:rFonts w:eastAsia="Times New Roman" w:cs="Times New Roman" w:ascii="Times New Roman" w:hAnsi="Times New Roman"/>
                  <w:b/>
                  <w:bCs/>
                  <w:vanish w:val="false"/>
                  <w:color w:val="000000"/>
                  <w:kern w:val="0"/>
                  <w:sz w:val="28"/>
                  <w:szCs w:val="28"/>
                  <w:shd w:fill="auto" w:val="clear"/>
                  <w:lang w:eastAsia="uk-UA"/>
                </w:rPr>
                <w:t>2.3. ОСНОВНІ ХАРАКТЕРИСТИКИ СЕКТОРІВ ЕНЕРГЕТИЧНОГО ПЛАНУВАННЯ</w:t>
              </w:r>
            </w:hyperlink>
            <w:r>
              <w:rPr>
                <w:rFonts w:eastAsia="Times New Roman" w:cs="Times New Roman" w:ascii="Times New Roman" w:hAnsi="Times New Roman"/>
                <w:b/>
                <w:bCs/>
                <w:vanish w:val="false"/>
                <w:color w:val="000000"/>
                <w:kern w:val="0"/>
                <w:sz w:val="28"/>
                <w:szCs w:val="28"/>
                <w:shd w:fill="auto" w:val="clear"/>
                <w:lang w:eastAsia="uk-UA"/>
              </w:rPr>
              <w:t xml:space="preserve">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2.3.1. Громадські будівлі</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483">
              <w:r>
                <w:rPr>
                  <w:webHidden/>
                </w:rPr>
                <w:fldChar w:fldCharType="begin"/>
              </w:r>
              <w:r>
                <w:rPr>
                  <w:webHidden/>
                </w:rPr>
                <w:instrText xml:space="preserve">PAGEREF _Toc195651483 \h</w:instrText>
              </w:r>
              <w:r>
                <w:rPr>
                  <w:webHidden/>
                </w:rPr>
                <w:fldChar w:fldCharType="separate"/>
              </w:r>
              <w:r>
                <w:rPr>
                  <w:rStyle w:val="Style14"/>
                  <w:rFonts w:eastAsia="Times New Roman" w:cs="Times New Roman" w:ascii="Times New Roman" w:hAnsi="Times New Roman"/>
                  <w:b/>
                  <w:bCs/>
                  <w:sz w:val="28"/>
                  <w:szCs w:val="28"/>
                </w:rPr>
                <w:t xml:space="preserve">2.3.2. Житлові будівлі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Style20"/>
              <w:jc w:val="start"/>
              <w:rPr/>
            </w:pPr>
            <w:hyperlink w:anchor="_Toc195651484">
              <w:r>
                <w:rPr>
                  <w:webHidden/>
                </w:rPr>
                <w:fldChar w:fldCharType="begin"/>
              </w:r>
              <w:r>
                <w:rPr>
                  <w:webHidden/>
                </w:rPr>
                <w:instrText xml:space="preserve">PAGEREF _Toc195651484 \h</w:instrText>
              </w:r>
              <w:r>
                <w:rPr>
                  <w:webHidden/>
                </w:rPr>
                <w:fldChar w:fldCharType="separate"/>
              </w:r>
              <w:r>
                <w:rPr>
                  <w:rStyle w:val="Style14"/>
                  <w:rFonts w:eastAsia="Times New Roman" w:cs="Times New Roman" w:ascii="Times New Roman" w:hAnsi="Times New Roman"/>
                  <w:b/>
                  <w:bCs/>
                  <w:sz w:val="28"/>
                  <w:szCs w:val="28"/>
                </w:rPr>
                <w:t xml:space="preserve">2.3.3. Водопостачання та водовідведення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pPr>
            <w:hyperlink w:anchor="_Toc195651485">
              <w:r>
                <w:rPr>
                  <w:webHidden/>
                </w:rPr>
                <w:fldChar w:fldCharType="begin"/>
              </w:r>
              <w:r>
                <w:rPr>
                  <w:webHidden/>
                </w:rPr>
                <w:instrText xml:space="preserve">PAGEREF _Toc195651485 \h</w:instrText>
              </w:r>
              <w:r>
                <w:rPr>
                  <w:webHidden/>
                </w:rPr>
                <w:fldChar w:fldCharType="separate"/>
              </w:r>
              <w:r>
                <w:rPr>
                  <w:rStyle w:val="Style14"/>
                  <w:rFonts w:eastAsia="Times New Roman" w:cs="Times New Roman" w:ascii="Times New Roman" w:hAnsi="Times New Roman"/>
                  <w:b/>
                  <w:bCs/>
                  <w:sz w:val="28"/>
                  <w:szCs w:val="28"/>
                </w:rPr>
                <w:t>2.3.4. Зовнішнє освітлення</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29</w:t>
            </w:r>
          </w:p>
        </w:tc>
      </w:tr>
      <w:tr>
        <w:trPr/>
        <w:tc>
          <w:tcPr>
            <w:tcW w:w="8443" w:type="dxa"/>
            <w:tcBorders>
              <w:start w:val="single" w:sz="4" w:space="0" w:color="000000"/>
              <w:bottom w:val="single" w:sz="4" w:space="0" w:color="000000"/>
            </w:tcBorders>
          </w:tcPr>
          <w:p>
            <w:pPr>
              <w:pStyle w:val="Style20"/>
              <w:jc w:val="start"/>
              <w:rPr/>
            </w:pPr>
            <w:hyperlink w:anchor="_Toc195651486">
              <w:r>
                <w:rPr>
                  <w:webHidden/>
                </w:rPr>
                <w:fldChar w:fldCharType="begin"/>
              </w:r>
              <w:r>
                <w:rPr>
                  <w:webHidden/>
                </w:rPr>
                <w:instrText xml:space="preserve">PAGEREF _Toc195651486 \h</w:instrText>
              </w:r>
              <w:r>
                <w:rPr>
                  <w:webHidden/>
                </w:rPr>
                <w:fldChar w:fldCharType="separate"/>
              </w:r>
              <w:r>
                <w:rPr>
                  <w:rStyle w:val="Style14"/>
                  <w:rFonts w:eastAsia="Times New Roman" w:cs="Times New Roman" w:ascii="Times New Roman" w:hAnsi="Times New Roman"/>
                  <w:b/>
                  <w:bCs/>
                  <w:sz w:val="28"/>
                  <w:szCs w:val="28"/>
                </w:rPr>
                <w:t>2.3.5. Теплопостачання</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0</w:t>
            </w:r>
          </w:p>
        </w:tc>
      </w:tr>
      <w:tr>
        <w:trPr/>
        <w:tc>
          <w:tcPr>
            <w:tcW w:w="8443" w:type="dxa"/>
            <w:tcBorders>
              <w:start w:val="single" w:sz="4" w:space="0" w:color="000000"/>
              <w:bottom w:val="single" w:sz="4" w:space="0" w:color="000000"/>
            </w:tcBorders>
          </w:tcPr>
          <w:p>
            <w:pPr>
              <w:pStyle w:val="Style20"/>
              <w:jc w:val="start"/>
              <w:rPr/>
            </w:pPr>
            <w:hyperlink w:anchor="_Toc195651488">
              <w:r>
                <w:rPr>
                  <w:webHidden/>
                </w:rPr>
                <w:fldChar w:fldCharType="begin"/>
              </w:r>
              <w:r>
                <w:rPr>
                  <w:webHidden/>
                </w:rPr>
                <w:instrText xml:space="preserve">PAGEREF _Toc195651488 \h</w:instrText>
              </w:r>
              <w:r>
                <w:rPr>
                  <w:webHidden/>
                </w:rPr>
                <w:fldChar w:fldCharType="separate"/>
              </w:r>
              <w:r>
                <w:rPr>
                  <w:rStyle w:val="Style14"/>
                  <w:rFonts w:eastAsia="Times New Roman" w:cs="Times New Roman" w:ascii="Times New Roman" w:hAnsi="Times New Roman"/>
                  <w:b/>
                  <w:bCs/>
                  <w:sz w:val="28"/>
                  <w:szCs w:val="28"/>
                </w:rPr>
                <w:t xml:space="preserve">2.3.6. Транспорт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pPr>
            <w:hyperlink w:anchor="_Toc195651487">
              <w:r>
                <w:rPr>
                  <w:webHidden/>
                </w:rPr>
                <w:fldChar w:fldCharType="begin"/>
              </w:r>
              <w:r>
                <w:rPr>
                  <w:webHidden/>
                </w:rPr>
                <w:instrText xml:space="preserve">PAGEREF _Toc195651487 \h</w:instrText>
              </w:r>
              <w:r>
                <w:rPr>
                  <w:webHidden/>
                </w:rPr>
                <w:fldChar w:fldCharType="separate"/>
              </w:r>
              <w:r>
                <w:rPr>
                  <w:rStyle w:val="Style14"/>
                  <w:rFonts w:eastAsia="Times New Roman" w:cs="Times New Roman" w:ascii="Times New Roman" w:hAnsi="Times New Roman"/>
                  <w:b/>
                  <w:bCs/>
                  <w:sz w:val="28"/>
                  <w:szCs w:val="28"/>
                </w:rPr>
                <w:t xml:space="preserve">2.3.7. Управління відходами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pPr>
            <w:hyperlink w:anchor="_Toc195651489">
              <w:r>
                <w:rPr>
                  <w:webHidden/>
                </w:rPr>
                <w:fldChar w:fldCharType="begin"/>
              </w:r>
              <w:r>
                <w:rPr>
                  <w:webHidden/>
                </w:rPr>
                <w:instrText xml:space="preserve">PAGEREF _Toc195651489 \h</w:instrText>
              </w:r>
              <w:r>
                <w:rPr>
                  <w:webHidden/>
                </w:rPr>
                <w:fldChar w:fldCharType="separate"/>
              </w:r>
              <w:r>
                <w:rPr>
                  <w:rStyle w:val="Style14"/>
                  <w:rFonts w:eastAsia="Times New Roman" w:cs="Times New Roman" w:ascii="Times New Roman" w:hAnsi="Times New Roman"/>
                  <w:b/>
                  <w:bCs/>
                  <w:sz w:val="28"/>
                  <w:szCs w:val="28"/>
                </w:rPr>
                <w:t xml:space="preserve">2.3.8. Електропостачання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2</w:t>
            </w:r>
          </w:p>
        </w:tc>
      </w:tr>
      <w:tr>
        <w:trPr/>
        <w:tc>
          <w:tcPr>
            <w:tcW w:w="8443" w:type="dxa"/>
            <w:tcBorders>
              <w:start w:val="single" w:sz="4" w:space="0" w:color="000000"/>
              <w:bottom w:val="single" w:sz="4" w:space="0" w:color="000000"/>
            </w:tcBorders>
          </w:tcPr>
          <w:p>
            <w:pPr>
              <w:pStyle w:val="Style20"/>
              <w:jc w:val="start"/>
              <w:rPr/>
            </w:pPr>
            <w:hyperlink w:anchor="_Toc195651490">
              <w:r>
                <w:rPr>
                  <w:webHidden/>
                </w:rPr>
                <w:fldChar w:fldCharType="begin"/>
              </w:r>
              <w:r>
                <w:rPr>
                  <w:webHidden/>
                </w:rPr>
                <w:instrText xml:space="preserve">PAGEREF _Toc195651490 \h</w:instrText>
              </w:r>
              <w:r>
                <w:rPr>
                  <w:webHidden/>
                </w:rPr>
                <w:fldChar w:fldCharType="separate"/>
              </w:r>
              <w:r>
                <w:rPr>
                  <w:rStyle w:val="Style14"/>
                  <w:rFonts w:eastAsia="Times New Roman" w:cs="Times New Roman" w:ascii="Times New Roman" w:hAnsi="Times New Roman"/>
                  <w:b/>
                  <w:bCs/>
                  <w:sz w:val="28"/>
                  <w:szCs w:val="28"/>
                </w:rPr>
                <w:t xml:space="preserve">2.3.9. Газопостачання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3</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vanish w:val="false"/>
                <w:color w:val="000000"/>
                <w:kern w:val="0"/>
                <w:sz w:val="28"/>
                <w:szCs w:val="28"/>
                <w:shd w:fill="auto" w:val="clear"/>
                <w:lang w:eastAsia="uk-UA"/>
              </w:rPr>
            </w:pPr>
            <w:r>
              <w:rPr>
                <w:rFonts w:eastAsia="Times New Roman" w:cs="Times New Roman" w:ascii="Times New Roman" w:hAnsi="Times New Roman"/>
                <w:b/>
                <w:bCs/>
                <w:vanish w:val="false"/>
                <w:color w:val="000000"/>
                <w:kern w:val="0"/>
                <w:sz w:val="28"/>
                <w:szCs w:val="28"/>
                <w:shd w:fill="auto" w:val="clear"/>
                <w:lang w:eastAsia="uk-UA"/>
              </w:rPr>
              <w:t>2.</w:t>
            </w:r>
            <w:r>
              <w:rPr>
                <w:rFonts w:eastAsia="Times New Roman" w:cs="Times New Roman" w:ascii="Times New Roman" w:hAnsi="Times New Roman"/>
                <w:b/>
                <w:bCs/>
                <w:vanish w:val="false"/>
                <w:color w:val="000000"/>
                <w:kern w:val="0"/>
                <w:sz w:val="28"/>
                <w:szCs w:val="28"/>
                <w:shd w:fill="auto" w:val="clear"/>
                <w:lang w:eastAsia="uk-UA"/>
              </w:rPr>
              <w:t>4</w:t>
            </w:r>
            <w:r>
              <w:rPr>
                <w:rFonts w:eastAsia="Times New Roman" w:cs="Times New Roman" w:ascii="Times New Roman" w:hAnsi="Times New Roman"/>
                <w:b/>
                <w:bCs/>
                <w:vanish w:val="false"/>
                <w:color w:val="000000"/>
                <w:kern w:val="0"/>
                <w:sz w:val="28"/>
                <w:szCs w:val="28"/>
                <w:shd w:fill="auto" w:val="clear"/>
                <w:lang w:eastAsia="uk-UA"/>
              </w:rPr>
              <w:t xml:space="preserve">. </w:t>
            </w:r>
            <w:r>
              <w:rPr>
                <w:rFonts w:eastAsia="Times New Roman" w:cs="Times New Roman" w:ascii="Times New Roman" w:hAnsi="Times New Roman"/>
                <w:b/>
                <w:bCs/>
                <w:vanish w:val="false"/>
                <w:color w:val="000000"/>
                <w:kern w:val="0"/>
                <w:sz w:val="28"/>
                <w:szCs w:val="28"/>
                <w:shd w:fill="auto" w:val="clear"/>
                <w:lang w:eastAsia="uk-UA"/>
              </w:rPr>
              <w:t xml:space="preserve">РІЧНИЙ ЕНЕРГЕТИЧНИЙ БАЛАНС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3</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2.4.1. Зведений енергетичний баланс</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33</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2.4.2. Річний енергетичний баланс (Діаграма Сенкі)</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5</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2.4.3. Вартісний баланс енергоресурсів</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6</w:t>
            </w:r>
          </w:p>
        </w:tc>
      </w:tr>
      <w:tr>
        <w:trPr/>
        <w:tc>
          <w:tcPr>
            <w:tcW w:w="8443" w:type="dxa"/>
            <w:tcBorders>
              <w:start w:val="single" w:sz="4" w:space="0" w:color="000000"/>
              <w:bottom w:val="single" w:sz="4" w:space="0" w:color="000000"/>
            </w:tcBorders>
          </w:tcPr>
          <w:p>
            <w:pPr>
              <w:pStyle w:val="Style20"/>
              <w:jc w:val="start"/>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2.4.4. Інвестиційний баланс за минулі періоди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7</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pPr>
            <w:hyperlink w:anchor="_Toc195651493">
              <w:r>
                <w:rPr>
                  <w:rStyle w:val="Style14"/>
                  <w:rFonts w:eastAsia="Times New Roman" w:cs="Times New Roman" w:ascii="Times New Roman" w:hAnsi="Times New Roman"/>
                  <w:b/>
                  <w:bCs/>
                  <w:vanish w:val="false"/>
                  <w:color w:val="000000"/>
                  <w:kern w:val="0"/>
                  <w:sz w:val="28"/>
                  <w:szCs w:val="28"/>
                  <w:shd w:fill="auto" w:val="clear"/>
                  <w:lang w:eastAsia="uk-UA"/>
                </w:rPr>
                <w:t>2.</w:t>
              </w:r>
              <w:r>
                <w:rPr>
                  <w:rStyle w:val="Style14"/>
                  <w:rFonts w:eastAsia="Times New Roman" w:cs="Times New Roman" w:ascii="Times New Roman" w:hAnsi="Times New Roman"/>
                  <w:b/>
                  <w:bCs/>
                  <w:vanish w:val="false"/>
                  <w:color w:val="000000"/>
                  <w:kern w:val="0"/>
                  <w:sz w:val="28"/>
                  <w:szCs w:val="28"/>
                  <w:shd w:fill="auto" w:val="clear"/>
                  <w:lang w:eastAsia="uk-UA"/>
                </w:rPr>
                <w:t>5</w:t>
              </w:r>
              <w:r>
                <w:rPr>
                  <w:webHidden/>
                </w:rPr>
                <w:fldChar w:fldCharType="begin"/>
              </w:r>
              <w:r>
                <w:rPr>
                  <w:webHidden/>
                </w:rPr>
                <w:instrText xml:space="preserve">PAGEREF _Toc195651493 \h</w:instrText>
              </w:r>
              <w:r>
                <w:rPr>
                  <w:webHidden/>
                </w:rPr>
                <w:fldChar w:fldCharType="separate"/>
              </w:r>
              <w:r>
                <w:rPr>
                  <w:rStyle w:val="Style14"/>
                  <w:rFonts w:eastAsia="Times New Roman" w:cs="Times New Roman" w:ascii="Times New Roman" w:hAnsi="Times New Roman"/>
                  <w:b/>
                  <w:bCs/>
                  <w:vanish w:val="false"/>
                  <w:color w:val="000000"/>
                  <w:kern w:val="0"/>
                  <w:sz w:val="28"/>
                  <w:szCs w:val="28"/>
                  <w:shd w:fill="auto" w:val="clear"/>
                  <w:lang w:eastAsia="uk-UA"/>
                </w:rPr>
                <w:t xml:space="preserve"> АНАЛІЗ РЕЗУЛЬТАТІВ БЕНЧМАРКІНГУ КЛЮЧОВИХ ЕНЕРГЕТИЧНИХ ПОКАЗНИКІВ ОБ’ЄКТІВ (СИСТЕМ) НА ТЕРИТОРІЇ ТЕРИТОРІАЛЬНОЇ ГРОМАДИ </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3. ЦІЛІ СТАЛОГО ЕНЕРГЕТИЧНОГО РОЗВИТКУ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9</w:t>
            </w:r>
          </w:p>
        </w:tc>
      </w:tr>
      <w:tr>
        <w:trPr/>
        <w:tc>
          <w:tcPr>
            <w:tcW w:w="8443" w:type="dxa"/>
            <w:tcBorders>
              <w:start w:val="single" w:sz="4" w:space="0" w:color="000000"/>
              <w:bottom w:val="single" w:sz="4" w:space="0" w:color="000000"/>
            </w:tcBorders>
          </w:tcPr>
          <w:p>
            <w:pPr>
              <w:pStyle w:val="Style20"/>
              <w:jc w:val="start"/>
              <w:rPr/>
            </w:pPr>
            <w:bookmarkStart w:id="12" w:name="_Toc195651496_копія_1"/>
            <w:bookmarkStart w:id="13" w:name="_Toc188436427_копія_1"/>
            <w:bookmarkStart w:id="14" w:name="_Toc188402871_копія_1"/>
            <w:bookmarkStart w:id="15" w:name="_Toc188397520_копія_1"/>
            <w:r>
              <w:rPr>
                <w:rStyle w:val="Style12"/>
                <w:rFonts w:eastAsia="Times New Roman" w:cs="Times New Roman" w:ascii="Times New Roman" w:hAnsi="Times New Roman"/>
                <w:b/>
                <w:bCs/>
                <w:sz w:val="28"/>
                <w:szCs w:val="28"/>
              </w:rPr>
              <w:t xml:space="preserve">3.1. </w:t>
            </w:r>
            <w:bookmarkEnd w:id="12"/>
            <w:bookmarkEnd w:id="13"/>
            <w:bookmarkEnd w:id="14"/>
            <w:bookmarkEnd w:id="15"/>
            <w:r>
              <w:rPr>
                <w:rStyle w:val="Style12"/>
                <w:rFonts w:eastAsia="Times New Roman" w:cs="Times New Roman" w:ascii="Times New Roman" w:hAnsi="Times New Roman"/>
                <w:b/>
                <w:bCs/>
                <w:sz w:val="28"/>
                <w:szCs w:val="28"/>
              </w:rPr>
              <w:t>Базова лінія споживання енергії до 2030 року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9</w:t>
            </w:r>
          </w:p>
        </w:tc>
      </w:tr>
      <w:tr>
        <w:trPr/>
        <w:tc>
          <w:tcPr>
            <w:tcW w:w="8443" w:type="dxa"/>
            <w:tcBorders>
              <w:start w:val="single" w:sz="4" w:space="0" w:color="000000"/>
              <w:bottom w:val="single" w:sz="4" w:space="0" w:color="000000"/>
            </w:tcBorders>
          </w:tcPr>
          <w:p>
            <w:pPr>
              <w:pStyle w:val="Style20"/>
              <w:jc w:val="start"/>
              <w:rPr/>
            </w:pPr>
            <w:r>
              <w:rPr>
                <w:rStyle w:val="Style12"/>
                <w:rFonts w:eastAsia="Times New Roman" w:cs="Times New Roman" w:ascii="Times New Roman" w:hAnsi="Times New Roman"/>
                <w:b/>
                <w:bCs/>
                <w:sz w:val="28"/>
                <w:szCs w:val="28"/>
              </w:rPr>
              <w:t>3.2. Цілі та стратегії до 2030 року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2</w:t>
            </w:r>
          </w:p>
        </w:tc>
      </w:tr>
      <w:tr>
        <w:trPr/>
        <w:tc>
          <w:tcPr>
            <w:tcW w:w="8443" w:type="dxa"/>
            <w:tcBorders>
              <w:start w:val="single" w:sz="4" w:space="0" w:color="000000"/>
              <w:bottom w:val="single" w:sz="4" w:space="0" w:color="000000"/>
            </w:tcBorders>
          </w:tcPr>
          <w:p>
            <w:pPr>
              <w:pStyle w:val="Normal"/>
              <w:tabs>
                <w:tab w:val="clear" w:pos="709"/>
                <w:tab w:val="right" w:pos="9629" w:leader="dot"/>
              </w:tabs>
              <w:rPr>
                <w:shd w:fill="auto" w:val="clear"/>
              </w:rPr>
            </w:pPr>
            <w:r>
              <w:rPr>
                <w:rFonts w:ascii="Times New Roman" w:hAnsi="Times New Roman"/>
                <w:b/>
                <w:bCs/>
                <w:vanish w:val="false"/>
                <w:sz w:val="28"/>
                <w:szCs w:val="28"/>
                <w:shd w:fill="auto" w:val="clear"/>
              </w:rPr>
              <w:t xml:space="preserve">4. </w:t>
            </w:r>
            <w:r>
              <w:rPr>
                <w:rFonts w:eastAsia="Times New Roman" w:cs="Times New Roman" w:ascii="Times New Roman" w:hAnsi="Times New Roman"/>
                <w:b/>
                <w:bCs/>
                <w:vanish w:val="false"/>
                <w:color w:val="000000"/>
                <w:kern w:val="0"/>
                <w:sz w:val="28"/>
                <w:szCs w:val="28"/>
                <w:shd w:fill="auto" w:val="clear"/>
                <w:lang w:eastAsia="uk-UA"/>
              </w:rPr>
              <w:t>ПРОЄКТИ СТАЛОГО ЕНЕРГЕТИЧНОГО РОЗВИТКУ</w:t>
            </w:r>
          </w:p>
          <w:p>
            <w:pPr>
              <w:pStyle w:val="Normal"/>
              <w:tabs>
                <w:tab w:val="clear" w:pos="709"/>
                <w:tab w:val="right" w:pos="9629" w:leader="dot"/>
              </w:tabs>
              <w:rPr>
                <w:rFonts w:ascii="Times New Roman" w:hAnsi="Times New Roman" w:eastAsia="Times New Roman" w:cs="Times New Roman"/>
                <w:b/>
                <w:bCs/>
                <w:vanish w:val="false"/>
                <w:color w:val="000000"/>
                <w:kern w:val="0"/>
                <w:sz w:val="28"/>
                <w:szCs w:val="28"/>
                <w:shd w:fill="auto" w:val="clear"/>
                <w:lang w:eastAsia="uk-UA"/>
              </w:rPr>
            </w:pPr>
            <w:r>
              <w:rPr>
                <w:rFonts w:eastAsia="Times New Roman" w:cs="Times New Roman" w:ascii="Times New Roman" w:hAnsi="Times New Roman"/>
                <w:b/>
                <w:bCs/>
                <w:vanish w:val="false"/>
                <w:color w:val="000000"/>
                <w:kern w:val="0"/>
                <w:sz w:val="28"/>
                <w:szCs w:val="28"/>
                <w:shd w:fill="auto" w:val="clear"/>
                <w:lang w:eastAsia="uk-UA"/>
              </w:rPr>
              <w:t>ПОКРОВСЬКОЇ МІСЬКОЇ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4</w:t>
            </w:r>
          </w:p>
        </w:tc>
      </w:tr>
      <w:tr>
        <w:trPr/>
        <w:tc>
          <w:tcPr>
            <w:tcW w:w="8443" w:type="dxa"/>
            <w:tcBorders>
              <w:start w:val="single" w:sz="4" w:space="0" w:color="000000"/>
              <w:bottom w:val="single" w:sz="4" w:space="0" w:color="000000"/>
            </w:tcBorders>
          </w:tcPr>
          <w:p>
            <w:pPr>
              <w:pStyle w:val="Normal"/>
              <w:tabs>
                <w:tab w:val="clear" w:pos="709"/>
                <w:tab w:val="right" w:pos="9629" w:leader="dot"/>
              </w:tabs>
              <w:rPr>
                <w:rFonts w:ascii="Times New Roman" w:hAnsi="Times New Roman"/>
                <w:b/>
                <w:bCs/>
                <w:sz w:val="28"/>
                <w:szCs w:val="28"/>
                <w:shd w:fill="auto" w:val="clear"/>
              </w:rPr>
            </w:pPr>
            <w:r>
              <w:rPr>
                <w:rFonts w:ascii="Times New Roman" w:hAnsi="Times New Roman"/>
                <w:b/>
                <w:bCs/>
                <w:sz w:val="28"/>
                <w:szCs w:val="28"/>
                <w:shd w:fill="auto" w:val="clear"/>
              </w:rPr>
              <w:t>5. ОРГАНІЗАЦІЯ ВИКОНАННЯ ТА ФІНАНСУВАННЯ</w:t>
            </w:r>
          </w:p>
          <w:p>
            <w:pPr>
              <w:pStyle w:val="Normal"/>
              <w:tabs>
                <w:tab w:val="clear" w:pos="709"/>
                <w:tab w:val="right" w:pos="9629" w:leader="dot"/>
              </w:tabs>
              <w:rPr>
                <w:rFonts w:ascii="Times New Roman" w:hAnsi="Times New Roman"/>
                <w:b/>
                <w:bCs/>
                <w:sz w:val="28"/>
                <w:szCs w:val="28"/>
                <w:shd w:fill="auto" w:val="clear"/>
              </w:rPr>
            </w:pPr>
            <w:r>
              <w:rPr>
                <w:rFonts w:ascii="Times New Roman" w:hAnsi="Times New Roman"/>
                <w:b/>
                <w:bCs/>
                <w:sz w:val="28"/>
                <w:szCs w:val="28"/>
                <w:shd w:fill="auto" w:val="clear"/>
              </w:rPr>
              <w:t>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508">
              <w:r>
                <w:rPr>
                  <w:webHidden/>
                </w:rPr>
                <w:fldChar w:fldCharType="begin"/>
              </w:r>
              <w:r>
                <w:rPr>
                  <w:webHidden/>
                </w:rPr>
                <w:instrText xml:space="preserve">PAGEREF _Toc195651508 \h</w:instrText>
              </w:r>
              <w:r>
                <w:rPr>
                  <w:webHidden/>
                </w:rPr>
                <w:fldChar w:fldCharType="separate"/>
              </w:r>
              <w:r>
                <w:rPr>
                  <w:rStyle w:val="Style14"/>
                  <w:rFonts w:eastAsia="Times New Roman" w:cs="Times New Roman" w:ascii="Times New Roman" w:hAnsi="Times New Roman"/>
                  <w:b/>
                  <w:bCs/>
                  <w:sz w:val="28"/>
                  <w:szCs w:val="28"/>
                  <w:shd w:fill="auto" w:val="clear"/>
                </w:rPr>
                <w:t>5.1. Бюджет громади</w:t>
              </w:r>
              <w:r>
                <w:rPr>
                  <w:webHidden/>
                </w:rPr>
                <w:fldChar w:fldCharType="end"/>
              </w:r>
            </w:hyperlink>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8</w:t>
            </w:r>
          </w:p>
        </w:tc>
      </w:tr>
      <w:tr>
        <w:trPr/>
        <w:tc>
          <w:tcPr>
            <w:tcW w:w="8443" w:type="dxa"/>
            <w:tcBorders>
              <w:start w:val="single" w:sz="4" w:space="0" w:color="000000"/>
              <w:bottom w:val="single" w:sz="4" w:space="0" w:color="000000"/>
            </w:tcBorders>
          </w:tcPr>
          <w:p>
            <w:pPr>
              <w:pStyle w:val="Style20"/>
              <w:jc w:val="start"/>
              <w:rPr/>
            </w:pPr>
            <w:hyperlink w:anchor="_Toc195651508">
              <w:r>
                <w:rPr>
                  <w:rStyle w:val="Style14"/>
                  <w:rFonts w:eastAsia="Times New Roman" w:cs="Times New Roman" w:ascii="Times New Roman" w:hAnsi="Times New Roman"/>
                  <w:b/>
                  <w:bCs/>
                  <w:sz w:val="28"/>
                  <w:szCs w:val="28"/>
                  <w:shd w:fill="auto" w:val="clear"/>
                </w:rPr>
                <w:t>5.</w:t>
              </w:r>
              <w:r>
                <w:rPr>
                  <w:rStyle w:val="Style14"/>
                  <w:rFonts w:eastAsia="Times New Roman" w:cs="Times New Roman" w:ascii="Times New Roman" w:hAnsi="Times New Roman"/>
                  <w:b/>
                  <w:bCs/>
                  <w:sz w:val="28"/>
                  <w:szCs w:val="28"/>
                  <w:shd w:fill="auto" w:val="clear"/>
                </w:rPr>
                <w:t>2</w:t>
              </w:r>
              <w:r>
                <w:rPr>
                  <w:rStyle w:val="Style14"/>
                  <w:rFonts w:eastAsia="Times New Roman" w:cs="Times New Roman" w:ascii="Times New Roman" w:hAnsi="Times New Roman"/>
                  <w:b/>
                  <w:bCs/>
                  <w:sz w:val="28"/>
                  <w:szCs w:val="28"/>
                  <w:shd w:fill="auto" w:val="clear"/>
                </w:rPr>
                <w:t xml:space="preserve">. </w:t>
              </w:r>
            </w:hyperlink>
            <w:r>
              <w:rPr>
                <w:rFonts w:eastAsia="Century Gothic" w:cs="Century Gothic" w:ascii="Times New Roman" w:hAnsi="Times New Roman"/>
                <w:b/>
                <w:bCs/>
                <w:color w:val="000000"/>
                <w:kern w:val="0"/>
                <w:sz w:val="28"/>
                <w:szCs w:val="28"/>
                <w:shd w:fill="auto" w:val="clear"/>
                <w:lang w:val="uk-UA" w:eastAsia="uk-UA"/>
              </w:rPr>
              <w:t>Оцінка фінансових потреб на виконання МЕП</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Style20"/>
              <w:jc w:val="start"/>
              <w:rPr/>
            </w:pPr>
            <w:hyperlink w:anchor="_Toc195651508">
              <w:r>
                <w:rPr>
                  <w:rStyle w:val="Style14"/>
                  <w:rFonts w:eastAsia="Times New Roman" w:cs="Times New Roman" w:ascii="Times New Roman" w:hAnsi="Times New Roman"/>
                  <w:b/>
                  <w:bCs/>
                  <w:sz w:val="28"/>
                  <w:szCs w:val="28"/>
                  <w:shd w:fill="auto" w:val="clear"/>
                </w:rPr>
                <w:t>5.</w:t>
              </w:r>
              <w:r>
                <w:rPr>
                  <w:rStyle w:val="Style14"/>
                  <w:rFonts w:eastAsia="Times New Roman" w:cs="Times New Roman" w:ascii="Times New Roman" w:hAnsi="Times New Roman"/>
                  <w:b/>
                  <w:bCs/>
                  <w:sz w:val="28"/>
                  <w:szCs w:val="28"/>
                  <w:shd w:fill="auto" w:val="clear"/>
                </w:rPr>
                <w:t>3</w:t>
              </w:r>
              <w:r>
                <w:rPr>
                  <w:rStyle w:val="Style14"/>
                  <w:rFonts w:eastAsia="Times New Roman" w:cs="Times New Roman" w:ascii="Times New Roman" w:hAnsi="Times New Roman"/>
                  <w:b/>
                  <w:bCs/>
                  <w:sz w:val="28"/>
                  <w:szCs w:val="28"/>
                  <w:shd w:fill="auto" w:val="clear"/>
                </w:rPr>
                <w:t xml:space="preserve">. </w:t>
              </w:r>
            </w:hyperlink>
            <w:r>
              <w:rPr>
                <w:rFonts w:eastAsia="Century Gothic" w:cs="Century Gothic" w:ascii="Times New Roman" w:hAnsi="Times New Roman"/>
                <w:b/>
                <w:bCs/>
                <w:color w:val="000000"/>
                <w:kern w:val="0"/>
                <w:sz w:val="28"/>
                <w:szCs w:val="28"/>
                <w:shd w:fill="auto" w:val="clear"/>
                <w:lang w:val="uk-UA" w:eastAsia="uk-UA"/>
              </w:rPr>
              <w:t>Потенційні джерела фінансування проєктів МЕП</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1</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 xml:space="preserve">6. ОЧІКУВАНІ РЕЗУЛЬТАТИ ВИКОНАННЯ МУНІЦИПАЛЬНОГО ЕНЕРГЕТИЧНОГО ПЛАНУ </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2</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ДОДАТКИ ДО 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Додаток 1. Каталог проєктів сталого енергетичного розвитку території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4</w:t>
            </w:r>
          </w:p>
        </w:tc>
      </w:tr>
      <w:tr>
        <w:trPr/>
        <w:tc>
          <w:tcPr>
            <w:tcW w:w="8443" w:type="dxa"/>
            <w:tcBorders>
              <w:start w:val="single" w:sz="4" w:space="0" w:color="000000"/>
              <w:bottom w:val="single" w:sz="4" w:space="0" w:color="000000"/>
            </w:tcBorders>
          </w:tcPr>
          <w:p>
            <w:pPr>
              <w:pStyle w:val="Normal"/>
              <w:numPr>
                <w:ilvl w:val="0"/>
                <w:numId w:val="0"/>
              </w:numPr>
              <w:spacing w:lineRule="auto" w:line="259" w:before="0" w:after="80"/>
              <w:ind w:hanging="0" w:start="0"/>
              <w:jc w:val="start"/>
              <w:outlineLvl w:val="0"/>
              <w:rPr>
                <w:rFonts w:ascii="Times New Roman" w:hAnsi="Times New Roman" w:eastAsia="Times New Roman" w:cs="Times New Roman"/>
                <w:b/>
                <w:bCs/>
                <w:color w:val="000000"/>
                <w:kern w:val="0"/>
                <w:sz w:val="28"/>
                <w:szCs w:val="28"/>
                <w:shd w:fill="auto" w:val="clear"/>
                <w:lang w:eastAsia="uk-UA"/>
              </w:rPr>
            </w:pPr>
            <w:r>
              <w:rPr>
                <w:rFonts w:eastAsia="Times New Roman" w:cs="Times New Roman" w:ascii="Times New Roman" w:hAnsi="Times New Roman"/>
                <w:b/>
                <w:bCs/>
                <w:color w:val="000000"/>
                <w:kern w:val="0"/>
                <w:sz w:val="28"/>
                <w:szCs w:val="28"/>
                <w:shd w:fill="auto" w:val="clear"/>
                <w:lang w:eastAsia="uk-UA"/>
              </w:rPr>
              <w:t>Додаток 2. Вихідний стан енергетичного розвитку території територіальної громади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60</w:t>
            </w:r>
          </w:p>
        </w:tc>
      </w:tr>
      <w:tr>
        <w:trPr/>
        <w:tc>
          <w:tcPr>
            <w:tcW w:w="8443" w:type="dxa"/>
            <w:tcBorders>
              <w:start w:val="single" w:sz="4" w:space="0" w:color="000000"/>
              <w:bottom w:val="single" w:sz="4" w:space="0" w:color="000000"/>
            </w:tcBorders>
          </w:tcPr>
          <w:p>
            <w:pPr>
              <w:pStyle w:val="BodyText"/>
              <w:widowControl/>
              <w:pBdr/>
              <w:spacing w:before="0" w:after="150"/>
              <w:ind w:hanging="0" w:start="0" w:end="0"/>
              <w:jc w:val="start"/>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3</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Ключові енергетичні показники для виконання бенчмаркінгу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10</w:t>
            </w:r>
          </w:p>
        </w:tc>
      </w:tr>
      <w:tr>
        <w:trPr/>
        <w:tc>
          <w:tcPr>
            <w:tcW w:w="8443" w:type="dxa"/>
            <w:tcBorders>
              <w:start w:val="single" w:sz="4" w:space="0" w:color="000000"/>
              <w:bottom w:val="single" w:sz="4" w:space="0" w:color="000000"/>
            </w:tcBorders>
          </w:tcPr>
          <w:p>
            <w:pPr>
              <w:pStyle w:val="BodyText"/>
              <w:widowControl/>
              <w:pBdr/>
              <w:spacing w:before="0" w:after="150"/>
              <w:ind w:hanging="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bookmarkStart w:id="16" w:name="n452_копія_1"/>
            <w:bookmarkEnd w:id="16"/>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4</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Вихідні дані, що використовувалися для розроблення муніципального енергетичного плану</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19</w:t>
            </w:r>
          </w:p>
        </w:tc>
      </w:tr>
      <w:tr>
        <w:trPr/>
        <w:tc>
          <w:tcPr>
            <w:tcW w:w="8443" w:type="dxa"/>
            <w:tcBorders>
              <w:start w:val="single" w:sz="4" w:space="0" w:color="000000"/>
              <w:bottom w:val="single" w:sz="4" w:space="0" w:color="000000"/>
            </w:tcBorders>
          </w:tcPr>
          <w:p>
            <w:pPr>
              <w:pStyle w:val="BodyText"/>
              <w:widowControl/>
              <w:pBdr/>
              <w:spacing w:before="0" w:after="150"/>
              <w:ind w:hanging="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5</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Прогноз зміни цін і тарифів на енергію та комунальні послуги</w:t>
            </w:r>
          </w:p>
        </w:tc>
        <w:tc>
          <w:tcPr>
            <w:tcW w:w="912"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20</w:t>
            </w:r>
          </w:p>
        </w:tc>
      </w:tr>
    </w:tbl>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Normal"/>
        <w:numPr>
          <w:ilvl w:val="0"/>
          <w:numId w:val="0"/>
        </w:numPr>
        <w:spacing w:lineRule="auto" w:line="259" w:before="0" w:after="80"/>
        <w:ind w:hanging="0" w:start="0"/>
        <w:jc w:val="center"/>
        <w:outlineLvl w:val="0"/>
        <w:rPr>
          <w:rFonts w:ascii="Times New Roman" w:hAnsi="Times New Roman" w:eastAsia="Times New Roman" w:cs="Times New Roman"/>
          <w:b/>
          <w:color w:val="000000"/>
          <w:kern w:val="0"/>
          <w:sz w:val="28"/>
          <w:szCs w:val="28"/>
          <w:lang w:eastAsia="uk-UA"/>
        </w:rPr>
      </w:pPr>
      <w:bookmarkStart w:id="17" w:name="_Toc195651468"/>
      <w:bookmarkStart w:id="18" w:name="_Toc181742455"/>
      <w:r>
        <w:rPr>
          <w:rFonts w:eastAsia="Times New Roman" w:cs="Times New Roman" w:ascii="Times New Roman" w:hAnsi="Times New Roman"/>
          <w:b/>
          <w:color w:val="000000"/>
          <w:kern w:val="0"/>
          <w:sz w:val="28"/>
          <w:szCs w:val="28"/>
          <w:lang w:eastAsia="uk-UA"/>
        </w:rPr>
        <w:t>ВСТУП</w:t>
      </w:r>
      <w:bookmarkEnd w:id="17"/>
      <w:bookmarkEnd w:id="18"/>
    </w:p>
    <w:p>
      <w:pPr>
        <w:pStyle w:val="Normal"/>
        <w:spacing w:lineRule="auto" w:line="259"/>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На виконання зобов’язань України за Договором про заснування Енергетичного Співтовариства та Угодою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w:t>
      </w:r>
      <w:r>
        <w:rPr>
          <w:rFonts w:eastAsia="Century Gothic" w:cs="Century Gothic" w:ascii="Times New Roman" w:hAnsi="Times New Roman"/>
          <w:kern w:val="0"/>
          <w:sz w:val="28"/>
          <w:szCs w:val="28"/>
          <w:shd w:fill="auto" w:val="clear"/>
          <w:lang w:eastAsia="uk-UA"/>
        </w:rPr>
        <w:t xml:space="preserve"> Верховн</w:t>
      </w:r>
      <w:r>
        <w:rPr>
          <w:rFonts w:eastAsia="Century Gothic" w:cs="Century Gothic" w:ascii="Times New Roman" w:hAnsi="Times New Roman"/>
          <w:kern w:val="0"/>
          <w:sz w:val="28"/>
          <w:szCs w:val="28"/>
          <w:shd w:fill="auto" w:val="clear"/>
          <w:lang w:eastAsia="uk-UA"/>
        </w:rPr>
        <w:t>ою</w:t>
      </w:r>
      <w:r>
        <w:rPr>
          <w:rFonts w:eastAsia="Century Gothic" w:cs="Century Gothic" w:ascii="Times New Roman" w:hAnsi="Times New Roman"/>
          <w:kern w:val="0"/>
          <w:sz w:val="28"/>
          <w:szCs w:val="28"/>
          <w:shd w:fill="auto" w:val="clear"/>
          <w:lang w:eastAsia="uk-UA"/>
        </w:rPr>
        <w:t xml:space="preserve"> Рад</w:t>
      </w:r>
      <w:r>
        <w:rPr>
          <w:rFonts w:eastAsia="Century Gothic" w:cs="Century Gothic" w:ascii="Times New Roman" w:hAnsi="Times New Roman"/>
          <w:kern w:val="0"/>
          <w:sz w:val="28"/>
          <w:szCs w:val="28"/>
          <w:shd w:fill="auto" w:val="clear"/>
          <w:lang w:eastAsia="uk-UA"/>
        </w:rPr>
        <w:t>ою</w:t>
      </w:r>
      <w:r>
        <w:rPr>
          <w:rFonts w:eastAsia="Century Gothic" w:cs="Century Gothic" w:ascii="Times New Roman" w:hAnsi="Times New Roman"/>
          <w:kern w:val="0"/>
          <w:sz w:val="28"/>
          <w:szCs w:val="28"/>
          <w:shd w:fill="auto" w:val="clear"/>
          <w:lang w:eastAsia="uk-UA"/>
        </w:rPr>
        <w:t xml:space="preserve"> України</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п</w:t>
      </w:r>
      <w:r>
        <w:rPr>
          <w:rFonts w:eastAsia="Century Gothic" w:cs="Century Gothic" w:ascii="Times New Roman" w:hAnsi="Times New Roman"/>
          <w:kern w:val="0"/>
          <w:sz w:val="28"/>
          <w:szCs w:val="28"/>
          <w:lang w:eastAsia="uk-UA"/>
        </w:rPr>
        <w:t>рийнято Закон України «Про енергетичну ефективність» № 818-IX від 21 жовтня 2021 року. Цей Закон спрямований на імплементацію практики Європейського Союзу у сфері енергетичної ефективності, а саме: Директиви 2012/27/ЄС про енергетичну ефективність, Директиви 2009/125/ЄС про рамки для встановлення вимог до екодизайну для пов’язаних з енергоспоживанням продуктів, Регламенту (ЄС) 2017/1369 про встановлення рамок для енергетичного маркування.</w:t>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 xml:space="preserve">Відповідно до </w:t>
      </w:r>
      <w:r>
        <w:rPr>
          <w:rFonts w:eastAsia="Century Gothic" w:cs="Century Gothic" w:ascii="Times New Roman" w:hAnsi="Times New Roman"/>
          <w:kern w:val="0"/>
          <w:sz w:val="28"/>
          <w:szCs w:val="28"/>
          <w:shd w:fill="auto" w:val="clear"/>
          <w:lang w:eastAsia="uk-UA"/>
        </w:rPr>
        <w:t xml:space="preserve">частини </w:t>
      </w:r>
      <w:r>
        <w:rPr>
          <w:rFonts w:eastAsia="Century Gothic" w:cs="Century Gothic" w:ascii="Times New Roman" w:hAnsi="Times New Roman"/>
          <w:kern w:val="0"/>
          <w:sz w:val="28"/>
          <w:szCs w:val="28"/>
          <w:shd w:fill="auto" w:val="clear"/>
          <w:lang w:eastAsia="uk-UA"/>
        </w:rPr>
        <w:t>1</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с</w:t>
      </w:r>
      <w:r>
        <w:rPr>
          <w:rFonts w:eastAsia="Century Gothic" w:cs="Century Gothic" w:ascii="Times New Roman" w:hAnsi="Times New Roman"/>
          <w:kern w:val="0"/>
          <w:sz w:val="28"/>
          <w:szCs w:val="28"/>
          <w:lang w:eastAsia="uk-UA"/>
        </w:rPr>
        <w:t>татті 6 Закону України «Про енергетичну ефективність» органи місцевого самоврядування розробляють місцеві енергетичні плани.</w:t>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 xml:space="preserve">Муніципальний енергетичний план </w:t>
      </w:r>
      <w:r>
        <w:rPr>
          <w:rFonts w:eastAsia="Century Gothic" w:cs="Century Gothic" w:ascii="Times New Roman" w:hAnsi="Times New Roman"/>
          <w:kern w:val="0"/>
          <w:sz w:val="28"/>
          <w:szCs w:val="28"/>
          <w:lang w:eastAsia="uk-UA"/>
        </w:rPr>
        <w:t xml:space="preserve">Покровської міської територіальної громади Дніпропетровської області </w:t>
      </w:r>
      <w:r>
        <w:rPr>
          <w:rFonts w:eastAsia="Century Gothic" w:cs="Century Gothic" w:ascii="Times New Roman" w:hAnsi="Times New Roman"/>
          <w:kern w:val="0"/>
          <w:sz w:val="28"/>
          <w:szCs w:val="28"/>
          <w:shd w:fill="auto" w:val="clear"/>
          <w:lang w:eastAsia="uk-UA"/>
        </w:rPr>
        <w:t>на період до 2030 року включно</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(далі - МЕП)</w:t>
      </w:r>
      <w:r>
        <w:rPr>
          <w:rFonts w:eastAsia="Century Gothic" w:cs="Century Gothic" w:ascii="Times New Roman" w:hAnsi="Times New Roman"/>
          <w:kern w:val="0"/>
          <w:sz w:val="28"/>
          <w:szCs w:val="28"/>
          <w:lang w:eastAsia="uk-UA"/>
        </w:rPr>
        <w:t xml:space="preserve"> </w:t>
      </w:r>
      <w:r>
        <w:rPr>
          <w:rFonts w:eastAsia="Century Gothic" w:cs="Century Gothic" w:ascii="Times New Roman" w:hAnsi="Times New Roman"/>
          <w:kern w:val="0"/>
          <w:sz w:val="28"/>
          <w:szCs w:val="28"/>
          <w:lang w:eastAsia="uk-UA"/>
        </w:rPr>
        <w:t>розроблен</w:t>
      </w:r>
      <w:r>
        <w:rPr>
          <w:rFonts w:eastAsia="Century Gothic" w:cs="Century Gothic" w:ascii="Times New Roman" w:hAnsi="Times New Roman"/>
          <w:kern w:val="0"/>
          <w:sz w:val="28"/>
          <w:szCs w:val="28"/>
          <w:lang w:eastAsia="uk-UA"/>
        </w:rPr>
        <w:t xml:space="preserve">ий на виконання рішення Покровської міської ради Дніпропетровської області від 19.09.2025 № 8 «Про розроблення проєкту Муніципального енергетичного плану Покровської міської територіальної громади Дніпропетровської області на період до 2030 року включно та створення робочої групи з питань сталого енергетичного розвитку території Покровської міської територіальної громади Дніпропетровської області» у відповідності до </w:t>
      </w:r>
      <w:r>
        <w:rPr>
          <w:rFonts w:eastAsia="Century Gothic" w:cs="Century Gothic" w:ascii="Times New Roman" w:hAnsi="Times New Roman"/>
          <w:kern w:val="0"/>
          <w:sz w:val="28"/>
          <w:szCs w:val="28"/>
          <w:lang w:eastAsia="uk-UA"/>
        </w:rPr>
        <w:t>Методики розроблення місцевих енергетичних планів затвердженої, Наказом Міністерства розвитку громад, територій та інфраструктури України від 21.</w:t>
      </w:r>
      <w:r>
        <w:rPr>
          <w:rFonts w:eastAsia="Century Gothic" w:cs="Century Gothic" w:ascii="Times New Roman" w:hAnsi="Times New Roman"/>
          <w:kern w:val="0"/>
          <w:sz w:val="28"/>
          <w:szCs w:val="28"/>
          <w:lang w:eastAsia="uk-UA"/>
        </w:rPr>
        <w:t>12.</w:t>
      </w:r>
      <w:r>
        <w:rPr>
          <w:rFonts w:eastAsia="Century Gothic" w:cs="Century Gothic" w:ascii="Times New Roman" w:hAnsi="Times New Roman"/>
          <w:kern w:val="0"/>
          <w:sz w:val="28"/>
          <w:szCs w:val="28"/>
          <w:lang w:eastAsia="uk-UA"/>
        </w:rPr>
        <w:t>2023 № 1163 та з урахуванням відповідних нормативно-правових документів у сферах забезпечення енергетичної ефективності, розвитку енергетики, у тому числі відновлюваної енергетики, економіки, сталого розвитку та охорони навколишнього природного середовища.</w:t>
      </w:r>
    </w:p>
    <w:p>
      <w:pPr>
        <w:pStyle w:val="Normal"/>
        <w:spacing w:lineRule="auto" w:line="259"/>
        <w:ind w:firstLine="567" w:start="0" w:end="0"/>
        <w:jc w:val="both"/>
        <w:rPr/>
      </w:pPr>
      <w:r>
        <w:rPr>
          <w:rFonts w:eastAsia="Century Gothic" w:cs="Century Gothic" w:ascii="Times New Roman" w:hAnsi="Times New Roman"/>
          <w:kern w:val="0"/>
          <w:sz w:val="28"/>
          <w:szCs w:val="28"/>
          <w:lang w:eastAsia="uk-UA"/>
        </w:rPr>
        <w:t xml:space="preserve">Метою створення МЕП є сприяння досягненню національних цілей </w:t>
      </w:r>
      <w:r>
        <w:rPr>
          <w:rFonts w:eastAsia="Century Gothic" w:cs="Century Gothic" w:ascii="Times New Roman" w:hAnsi="Times New Roman"/>
          <w:kern w:val="0"/>
          <w:sz w:val="28"/>
          <w:szCs w:val="28"/>
          <w:lang w:eastAsia="uk-UA"/>
        </w:rPr>
        <w:t xml:space="preserve">у сфері забезпечення </w:t>
      </w:r>
      <w:r>
        <w:rPr>
          <w:rFonts w:eastAsia="Century Gothic" w:cs="Century Gothic" w:ascii="Times New Roman" w:hAnsi="Times New Roman"/>
          <w:kern w:val="0"/>
          <w:sz w:val="28"/>
          <w:szCs w:val="28"/>
          <w:lang w:eastAsia="uk-UA"/>
        </w:rPr>
        <w:t>енерг</w:t>
      </w:r>
      <w:r>
        <w:rPr>
          <w:rFonts w:eastAsia="Century Gothic" w:cs="Century Gothic" w:ascii="Times New Roman" w:hAnsi="Times New Roman"/>
          <w:kern w:val="0"/>
          <w:sz w:val="28"/>
          <w:szCs w:val="28"/>
          <w:lang w:eastAsia="uk-UA"/>
        </w:rPr>
        <w:t xml:space="preserve">етичної </w:t>
      </w:r>
      <w:r>
        <w:rPr>
          <w:rFonts w:eastAsia="Century Gothic" w:cs="Century Gothic" w:ascii="Times New Roman" w:hAnsi="Times New Roman"/>
          <w:kern w:val="0"/>
          <w:sz w:val="28"/>
          <w:szCs w:val="28"/>
          <w:lang w:eastAsia="uk-UA"/>
        </w:rPr>
        <w:t xml:space="preserve">ефективності; розвитку відновлюваних джерел енергії; </w:t>
      </w:r>
      <w:r>
        <w:rPr>
          <w:rFonts w:eastAsia="Century Gothic" w:cs="Century Gothic" w:ascii="Times New Roman" w:hAnsi="Times New Roman"/>
          <w:kern w:val="0"/>
          <w:sz w:val="28"/>
          <w:szCs w:val="28"/>
          <w:lang w:eastAsia="uk-UA"/>
        </w:rPr>
        <w:t>а</w:t>
      </w:r>
      <w:r>
        <w:rPr>
          <w:rFonts w:eastAsia="Century Gothic" w:cs="Century Gothic" w:ascii="Times New Roman" w:hAnsi="Times New Roman"/>
          <w:kern w:val="0"/>
          <w:sz w:val="28"/>
          <w:szCs w:val="28"/>
          <w:lang w:eastAsia="uk-UA"/>
        </w:rPr>
        <w:t xml:space="preserve">даптації </w:t>
      </w:r>
      <w:r>
        <w:rPr>
          <w:rFonts w:eastAsia="Century Gothic" w:cs="Century Gothic" w:ascii="Times New Roman" w:hAnsi="Times New Roman"/>
          <w:kern w:val="0"/>
          <w:sz w:val="28"/>
          <w:szCs w:val="28"/>
          <w:lang w:eastAsia="uk-UA"/>
        </w:rPr>
        <w:t>до кліматичних змін, включаючи зменшення викидів вуглекислого газу</w:t>
      </w:r>
      <w:r>
        <w:rPr>
          <w:rFonts w:eastAsia="Century Gothic" w:cs="Century Gothic" w:ascii="Times New Roman" w:hAnsi="Times New Roman"/>
          <w:kern w:val="0"/>
          <w:sz w:val="28"/>
          <w:szCs w:val="28"/>
          <w:lang w:eastAsia="uk-UA"/>
        </w:rPr>
        <w:t xml:space="preserve">; забезпечення раціонального використання бюджетних коштів на придбання енергії та комунальних послуг, </w:t>
      </w:r>
      <w:r>
        <w:rPr>
          <w:rFonts w:eastAsia="Century Gothic" w:cs="Century Gothic" w:ascii="Times New Roman" w:hAnsi="Times New Roman"/>
          <w:kern w:val="0"/>
          <w:sz w:val="28"/>
          <w:szCs w:val="28"/>
          <w:lang w:eastAsia="uk-UA"/>
        </w:rPr>
        <w:t>а також</w:t>
      </w:r>
      <w:r>
        <w:rPr>
          <w:rFonts w:eastAsia="Century Gothic" w:cs="Century Gothic" w:ascii="Times New Roman" w:hAnsi="Times New Roman"/>
          <w:kern w:val="0"/>
          <w:sz w:val="28"/>
          <w:szCs w:val="28"/>
          <w:lang w:eastAsia="uk-UA"/>
        </w:rPr>
        <w:t xml:space="preserve"> залучення інвестицій для енергетичної модернізації об’єктів та інфраструктури території територіальн</w:t>
      </w:r>
      <w:r>
        <w:rPr>
          <w:rFonts w:eastAsia="Century Gothic" w:cs="Century Gothic" w:ascii="Times New Roman" w:hAnsi="Times New Roman"/>
          <w:kern w:val="0"/>
          <w:sz w:val="28"/>
          <w:szCs w:val="28"/>
          <w:lang w:eastAsia="uk-UA"/>
        </w:rPr>
        <w:t xml:space="preserve">ої </w:t>
      </w:r>
      <w:r>
        <w:rPr>
          <w:rFonts w:eastAsia="Century Gothic" w:cs="Century Gothic" w:ascii="Times New Roman" w:hAnsi="Times New Roman"/>
          <w:kern w:val="0"/>
          <w:sz w:val="28"/>
          <w:szCs w:val="28"/>
          <w:lang w:eastAsia="uk-UA"/>
        </w:rPr>
        <w:t>громад</w:t>
      </w:r>
      <w:r>
        <w:rPr>
          <w:rFonts w:eastAsia="Century Gothic" w:cs="Century Gothic" w:ascii="Times New Roman" w:hAnsi="Times New Roman"/>
          <w:kern w:val="0"/>
          <w:sz w:val="28"/>
          <w:szCs w:val="28"/>
          <w:lang w:eastAsia="uk-UA"/>
        </w:rPr>
        <w:t>и.</w:t>
      </w:r>
    </w:p>
    <w:p>
      <w:pPr>
        <w:pStyle w:val="Normal"/>
        <w:spacing w:lineRule="auto" w:line="259"/>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jc w:val="both"/>
        <w:rPr>
          <w:rFonts w:ascii="Times New Roman" w:hAnsi="Times New Roman" w:eastAsia="Century Gothic" w:cs="Century Gothic"/>
          <w:b/>
          <w:bCs/>
          <w:kern w:val="0"/>
          <w:sz w:val="28"/>
          <w:szCs w:val="28"/>
          <w:lang w:eastAsia="uk-UA"/>
        </w:rPr>
      </w:pPr>
      <w:r>
        <w:rPr>
          <w:rFonts w:eastAsia="Century Gothic" w:cs="Century Gothic" w:ascii="Times New Roman" w:hAnsi="Times New Roman"/>
          <w:b/>
          <w:bCs/>
          <w:kern w:val="0"/>
          <w:sz w:val="28"/>
          <w:szCs w:val="28"/>
          <w:lang w:eastAsia="uk-UA"/>
        </w:rPr>
      </w:r>
    </w:p>
    <w:p>
      <w:pPr>
        <w:pStyle w:val="Normal"/>
        <w:spacing w:lineRule="auto" w:line="259"/>
        <w:jc w:val="center"/>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t>1. РЕЗЮМЕ МУНІЦИПАЛЬНОГО ЕНЕРГЕТИЧНОГО ПЛАНУ</w:t>
      </w:r>
    </w:p>
    <w:p>
      <w:pPr>
        <w:pStyle w:val="Normal"/>
        <w:spacing w:lineRule="auto" w:line="259"/>
        <w:jc w:val="both"/>
        <w:rPr>
          <w:b/>
          <w:color w:val="000000"/>
        </w:rPr>
      </w:pPr>
      <w:r>
        <w:rPr>
          <w:rFonts w:eastAsia="Times New Roman" w:cs="Times New Roman" w:ascii="Times New Roman" w:hAnsi="Times New Roman"/>
          <w:kern w:val="0"/>
          <w:sz w:val="28"/>
          <w:szCs w:val="28"/>
          <w:lang w:eastAsia="uk-UA"/>
        </w:rPr>
      </w:r>
    </w:p>
    <w:p>
      <w:pPr>
        <w:pStyle w:val="Normal"/>
        <w:spacing w:lineRule="auto" w:line="259"/>
        <w:ind w:firstLine="567" w:start="0" w:end="0"/>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t xml:space="preserve">Розробка та реалізація Муніципального енергетичного плану спрямована на системне запровадження нових енергоефективних заходів та проєктів, які дозволять зробити </w:t>
      </w:r>
      <w:r>
        <w:rPr>
          <w:rFonts w:eastAsia="Century Gothic" w:cs="Century Gothic" w:ascii="Times New Roman" w:hAnsi="Times New Roman"/>
          <w:kern w:val="0"/>
          <w:sz w:val="28"/>
          <w:szCs w:val="28"/>
          <w:lang w:eastAsia="uk-UA"/>
        </w:rPr>
        <w:t>Покровську</w:t>
      </w:r>
      <w:r>
        <w:rPr>
          <w:rFonts w:eastAsia="Century Gothic" w:cs="Century Gothic" w:ascii="Times New Roman" w:hAnsi="Times New Roman"/>
          <w:kern w:val="0"/>
          <w:sz w:val="28"/>
          <w:szCs w:val="28"/>
          <w:lang w:eastAsia="uk-UA"/>
        </w:rPr>
        <w:t xml:space="preserve"> міську територіальну громаду </w:t>
      </w:r>
      <w:r>
        <w:rPr>
          <w:rFonts w:eastAsia="Century Gothic" w:cs="Century Gothic" w:ascii="Times New Roman" w:hAnsi="Times New Roman"/>
          <w:kern w:val="0"/>
          <w:sz w:val="28"/>
          <w:szCs w:val="28"/>
          <w:lang w:eastAsia="uk-UA"/>
        </w:rPr>
        <w:t>Дніпропетровської області</w:t>
      </w:r>
      <w:r>
        <w:rPr>
          <w:rFonts w:eastAsia="Century Gothic" w:cs="Century Gothic" w:ascii="Times New Roman" w:hAnsi="Times New Roman"/>
          <w:kern w:val="0"/>
          <w:sz w:val="28"/>
          <w:szCs w:val="28"/>
          <w:lang w:eastAsia="uk-UA"/>
        </w:rPr>
        <w:t xml:space="preserve"> більш енергонезалежною, а життя мешканців - більш комфортним.</w:t>
      </w:r>
    </w:p>
    <w:p>
      <w:pPr>
        <w:pStyle w:val="Normal"/>
        <w:spacing w:lineRule="auto" w:line="259"/>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before="57" w:after="57"/>
        <w:ind w:firstLine="567" w:start="0" w:end="0"/>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t>Основними цілями МЕП є:</w:t>
      </w:r>
    </w:p>
    <w:p>
      <w:pPr>
        <w:pStyle w:val="Normal"/>
        <w:numPr>
          <w:ilvl w:val="0"/>
          <w:numId w:val="4"/>
        </w:numPr>
        <w:tabs>
          <w:tab w:val="clear" w:pos="709"/>
          <w:tab w:val="left" w:pos="450" w:leader="none"/>
        </w:tabs>
        <w:spacing w:lineRule="auto" w:line="259" w:before="57" w:after="57"/>
        <w:ind w:hanging="283" w:start="450"/>
        <w:jc w:val="both"/>
        <w:rPr>
          <w:shd w:fill="auto" w:val="clear"/>
        </w:rPr>
      </w:pPr>
      <w:r>
        <w:rPr>
          <w:rFonts w:ascii="Times New Roman" w:hAnsi="Times New Roman"/>
          <w:sz w:val="28"/>
          <w:szCs w:val="28"/>
          <w:shd w:fill="auto" w:val="clear"/>
        </w:rPr>
        <w:t xml:space="preserve">сприяння досягненню національних цілей у сфері </w:t>
      </w:r>
      <w:r>
        <w:rPr>
          <w:rFonts w:ascii="Times New Roman" w:hAnsi="Times New Roman"/>
          <w:sz w:val="28"/>
          <w:szCs w:val="28"/>
          <w:shd w:fill="auto" w:val="clear"/>
        </w:rPr>
        <w:t xml:space="preserve">забезпечення енергетичної ефективності, </w:t>
      </w:r>
      <w:r>
        <w:rPr>
          <w:rFonts w:ascii="Times New Roman" w:hAnsi="Times New Roman"/>
          <w:sz w:val="28"/>
          <w:szCs w:val="28"/>
          <w:shd w:fill="auto" w:val="clear"/>
        </w:rPr>
        <w:t>розвитк</w:t>
      </w:r>
      <w:r>
        <w:rPr>
          <w:rFonts w:ascii="Times New Roman" w:hAnsi="Times New Roman"/>
          <w:sz w:val="28"/>
          <w:szCs w:val="28"/>
          <w:shd w:fill="auto" w:val="clear"/>
        </w:rPr>
        <w:t>у</w:t>
      </w:r>
      <w:r>
        <w:rPr>
          <w:rFonts w:ascii="Times New Roman" w:hAnsi="Times New Roman"/>
          <w:sz w:val="28"/>
          <w:szCs w:val="28"/>
          <w:shd w:fill="auto" w:val="clear"/>
        </w:rPr>
        <w:t xml:space="preserve"> відновлювальних джерел енергії</w:t>
      </w:r>
      <w:r>
        <w:rPr>
          <w:rFonts w:eastAsia="Century Gothic" w:cs="Century Gothic" w:ascii="Times New Roman" w:hAnsi="Times New Roman"/>
          <w:kern w:val="0"/>
          <w:sz w:val="28"/>
          <w:szCs w:val="28"/>
          <w:shd w:fill="auto" w:val="clear"/>
          <w:lang w:eastAsia="uk-UA"/>
        </w:rPr>
        <w:t xml:space="preserve">, </w:t>
      </w:r>
      <w:r>
        <w:rPr>
          <w:rFonts w:eastAsia="Century Gothic" w:cs="Century Gothic" w:ascii="Times New Roman" w:hAnsi="Times New Roman"/>
          <w:kern w:val="0"/>
          <w:sz w:val="28"/>
          <w:szCs w:val="28"/>
          <w:shd w:fill="auto" w:val="clear"/>
          <w:lang w:eastAsia="uk-UA"/>
        </w:rPr>
        <w:t>адаптаці</w:t>
      </w:r>
      <w:r>
        <w:rPr>
          <w:rFonts w:eastAsia="Century Gothic" w:cs="Century Gothic" w:ascii="Times New Roman" w:hAnsi="Times New Roman"/>
          <w:kern w:val="0"/>
          <w:sz w:val="28"/>
          <w:szCs w:val="28"/>
          <w:shd w:fill="auto" w:val="clear"/>
          <w:lang w:eastAsia="uk-UA"/>
        </w:rPr>
        <w:t>ї</w:t>
      </w:r>
      <w:r>
        <w:rPr>
          <w:rFonts w:eastAsia="Century Gothic" w:cs="Century Gothic" w:ascii="Times New Roman" w:hAnsi="Times New Roman"/>
          <w:kern w:val="0"/>
          <w:sz w:val="28"/>
          <w:szCs w:val="28"/>
          <w:shd w:fill="auto" w:val="clear"/>
          <w:lang w:eastAsia="uk-UA"/>
        </w:rPr>
        <w:t xml:space="preserve"> до кліматичних змін, включаючи зменшення викидів вуглекислого газу;</w:t>
      </w:r>
    </w:p>
    <w:p>
      <w:pPr>
        <w:pStyle w:val="Normal"/>
        <w:numPr>
          <w:ilvl w:val="0"/>
          <w:numId w:val="4"/>
        </w:numPr>
        <w:tabs>
          <w:tab w:val="clear" w:pos="709"/>
          <w:tab w:val="left" w:pos="450" w:leader="none"/>
        </w:tabs>
        <w:spacing w:lineRule="auto" w:line="259"/>
        <w:ind w:hanging="283" w:start="450"/>
        <w:jc w:val="both"/>
        <w:rPr>
          <w:rFonts w:ascii="Times New Roman" w:hAnsi="Times New Roman"/>
          <w:sz w:val="28"/>
          <w:szCs w:val="28"/>
          <w:shd w:fill="auto" w:val="clear"/>
        </w:rPr>
      </w:pPr>
      <w:r>
        <w:rPr>
          <w:rFonts w:ascii="Times New Roman" w:hAnsi="Times New Roman"/>
          <w:sz w:val="28"/>
          <w:szCs w:val="28"/>
          <w:shd w:fill="auto" w:val="clear"/>
        </w:rPr>
        <w:t>раціональн</w:t>
      </w:r>
      <w:r>
        <w:rPr>
          <w:rFonts w:ascii="Times New Roman" w:hAnsi="Times New Roman"/>
          <w:sz w:val="28"/>
          <w:szCs w:val="28"/>
          <w:shd w:fill="auto" w:val="clear"/>
        </w:rPr>
        <w:t>е</w:t>
      </w:r>
      <w:r>
        <w:rPr>
          <w:rFonts w:ascii="Times New Roman" w:hAnsi="Times New Roman"/>
          <w:sz w:val="28"/>
          <w:szCs w:val="28"/>
          <w:shd w:fill="auto" w:val="clear"/>
        </w:rPr>
        <w:t xml:space="preserve"> використання </w:t>
      </w:r>
      <w:r>
        <w:rPr>
          <w:rFonts w:ascii="Times New Roman" w:hAnsi="Times New Roman"/>
          <w:sz w:val="28"/>
          <w:szCs w:val="28"/>
          <w:shd w:fill="auto" w:val="clear"/>
        </w:rPr>
        <w:t xml:space="preserve">бюджетних коштів на придбання </w:t>
      </w:r>
      <w:r>
        <w:rPr>
          <w:rFonts w:ascii="Times New Roman" w:hAnsi="Times New Roman"/>
          <w:sz w:val="28"/>
          <w:szCs w:val="28"/>
          <w:shd w:fill="auto" w:val="clear"/>
        </w:rPr>
        <w:t xml:space="preserve">енергії </w:t>
      </w:r>
      <w:r>
        <w:rPr>
          <w:rFonts w:ascii="Times New Roman" w:hAnsi="Times New Roman"/>
          <w:sz w:val="28"/>
          <w:szCs w:val="28"/>
          <w:shd w:fill="auto" w:val="clear"/>
        </w:rPr>
        <w:t>та комунальних послуг</w:t>
      </w:r>
      <w:r>
        <w:rPr>
          <w:rFonts w:ascii="Times New Roman" w:hAnsi="Times New Roman"/>
          <w:sz w:val="28"/>
          <w:szCs w:val="28"/>
          <w:shd w:fill="auto" w:val="clear"/>
        </w:rPr>
        <w:t>;</w:t>
      </w:r>
    </w:p>
    <w:p>
      <w:pPr>
        <w:pStyle w:val="Normal"/>
        <w:numPr>
          <w:ilvl w:val="0"/>
          <w:numId w:val="4"/>
        </w:numPr>
        <w:tabs>
          <w:tab w:val="clear" w:pos="709"/>
          <w:tab w:val="left" w:pos="450" w:leader="none"/>
        </w:tabs>
        <w:spacing w:lineRule="auto" w:line="259" w:before="57" w:after="57"/>
        <w:ind w:hanging="283" w:start="450"/>
        <w:jc w:val="both"/>
        <w:rPr/>
      </w:pPr>
      <w:r>
        <w:rPr>
          <w:rFonts w:eastAsia="Century Gothic" w:cs="Century Gothic" w:ascii="Times New Roman" w:hAnsi="Times New Roman"/>
          <w:kern w:val="0"/>
          <w:sz w:val="28"/>
          <w:szCs w:val="28"/>
          <w:shd w:fill="auto" w:val="clear"/>
          <w:lang w:eastAsia="uk-UA"/>
        </w:rPr>
        <w:t xml:space="preserve">залучення інвестицій </w:t>
      </w:r>
      <w:r>
        <w:rPr>
          <w:rFonts w:eastAsia="Century Gothic" w:cs="Century Gothic" w:ascii="Times New Roman" w:hAnsi="Times New Roman"/>
          <w:kern w:val="0"/>
          <w:sz w:val="28"/>
          <w:szCs w:val="28"/>
          <w:shd w:fill="auto" w:val="clear"/>
          <w:lang w:eastAsia="uk-UA"/>
        </w:rPr>
        <w:t xml:space="preserve">для енергетичної модернізації об'єктів та </w:t>
      </w:r>
      <w:r>
        <w:rPr>
          <w:rFonts w:eastAsia="Century Gothic" w:cs="Century Gothic" w:ascii="Times New Roman" w:hAnsi="Times New Roman"/>
          <w:kern w:val="0"/>
          <w:sz w:val="28"/>
          <w:szCs w:val="28"/>
          <w:lang w:eastAsia="uk-UA"/>
        </w:rPr>
        <w:t>інфраструктури території територіальної громади.</w:t>
      </w:r>
    </w:p>
    <w:p>
      <w:pPr>
        <w:pStyle w:val="Normal"/>
        <w:spacing w:lineRule="auto" w:line="259" w:before="57" w:after="57"/>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r>
    </w:p>
    <w:p>
      <w:pPr>
        <w:pStyle w:val="Normal"/>
        <w:spacing w:lineRule="auto" w:line="259" w:before="57" w:after="57"/>
        <w:ind w:firstLine="510" w:start="0" w:end="0"/>
        <w:jc w:val="both"/>
        <w:rPr>
          <w:rFonts w:ascii="Times New Roman" w:hAnsi="Times New Roman" w:eastAsia="Century Gothic" w:cs="Century Gothic"/>
          <w:kern w:val="0"/>
          <w:sz w:val="28"/>
          <w:szCs w:val="28"/>
          <w:lang w:eastAsia="uk-UA"/>
        </w:rPr>
      </w:pPr>
      <w:r>
        <w:rPr>
          <w:rFonts w:eastAsia="Century Gothic" w:cs="Century Gothic" w:ascii="Times New Roman" w:hAnsi="Times New Roman"/>
          <w:kern w:val="0"/>
          <w:sz w:val="28"/>
          <w:szCs w:val="28"/>
          <w:lang w:eastAsia="uk-UA"/>
        </w:rPr>
        <w:t>Пріоритетними секторами МЕП Покровської міської територіальної громади Дніпропетровської області є:</w:t>
      </w:r>
    </w:p>
    <w:p>
      <w:pPr>
        <w:pStyle w:val="Normal"/>
        <w:numPr>
          <w:ilvl w:val="0"/>
          <w:numId w:val="4"/>
        </w:numPr>
        <w:tabs>
          <w:tab w:val="clear" w:pos="709"/>
          <w:tab w:val="left" w:pos="450" w:leader="none"/>
        </w:tabs>
        <w:spacing w:lineRule="auto" w:line="276" w:before="0" w:after="0"/>
        <w:ind w:hanging="283" w:start="450"/>
        <w:jc w:val="both"/>
        <w:rPr>
          <w:rFonts w:ascii="Times New Roman" w:hAnsi="Times New Roman"/>
          <w:sz w:val="28"/>
          <w:szCs w:val="28"/>
          <w:shd w:fill="auto" w:val="clear"/>
        </w:rPr>
      </w:pPr>
      <w:r>
        <w:rPr>
          <w:rFonts w:ascii="Times New Roman" w:hAnsi="Times New Roman"/>
          <w:sz w:val="28"/>
          <w:szCs w:val="28"/>
          <w:shd w:fill="auto" w:val="clear"/>
        </w:rPr>
        <w:t>громадські будівлі;</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житлові будівлі;</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об’єкти теплопостачання;</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система водопостачання та водовідведення;</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зовнішнє</w:t>
      </w:r>
      <w:r>
        <w:rPr>
          <w:rFonts w:ascii="Times New Roman" w:hAnsi="Times New Roman"/>
          <w:sz w:val="28"/>
          <w:szCs w:val="28"/>
          <w:shd w:fill="auto" w:val="clear"/>
        </w:rPr>
        <w:t xml:space="preserve"> освітлення;</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транспорт;</w:t>
      </w:r>
    </w:p>
    <w:p>
      <w:pPr>
        <w:pStyle w:val="Normal"/>
        <w:numPr>
          <w:ilvl w:val="0"/>
          <w:numId w:val="4"/>
        </w:numPr>
        <w:tabs>
          <w:tab w:val="clear" w:pos="709"/>
          <w:tab w:val="left" w:pos="450" w:leader="none"/>
        </w:tabs>
        <w:spacing w:lineRule="auto" w:line="276"/>
        <w:ind w:hanging="283" w:start="450"/>
        <w:jc w:val="both"/>
        <w:rPr>
          <w:rFonts w:ascii="Times New Roman" w:hAnsi="Times New Roman"/>
          <w:sz w:val="28"/>
          <w:szCs w:val="28"/>
          <w:shd w:fill="auto" w:val="clear"/>
        </w:rPr>
      </w:pPr>
      <w:r>
        <w:rPr>
          <w:rFonts w:ascii="Times New Roman" w:hAnsi="Times New Roman"/>
          <w:sz w:val="28"/>
          <w:szCs w:val="28"/>
          <w:shd w:fill="auto" w:val="clear"/>
        </w:rPr>
        <w:t>тверді побутові відходи.</w:t>
      </w:r>
    </w:p>
    <w:p>
      <w:pPr>
        <w:pStyle w:val="Normal"/>
        <w:numPr>
          <w:ilvl w:val="0"/>
          <w:numId w:val="0"/>
        </w:numPr>
        <w:spacing w:lineRule="auto" w:line="259"/>
        <w:ind w:hanging="0" w:start="0"/>
        <w:jc w:val="both"/>
        <w:rPr>
          <w:rFonts w:ascii="Times New Roman" w:hAnsi="Times New Roman"/>
          <w:sz w:val="28"/>
          <w:szCs w:val="28"/>
          <w:shd w:fill="auto" w:val="clear"/>
        </w:rPr>
      </w:pPr>
      <w:r>
        <w:rPr>
          <w:rFonts w:ascii="Times New Roman" w:hAnsi="Times New Roman"/>
          <w:sz w:val="28"/>
          <w:szCs w:val="28"/>
          <w:shd w:fill="auto" w:val="clear"/>
        </w:rPr>
      </w:r>
    </w:p>
    <w:p>
      <w:pPr>
        <w:pStyle w:val="Normal"/>
        <w:spacing w:lineRule="auto" w:line="259" w:before="57" w:after="57"/>
        <w:ind w:firstLine="567" w:start="0" w:end="0"/>
        <w:jc w:val="both"/>
        <w:rPr>
          <w:rFonts w:ascii="Times New Roman" w:hAnsi="Times New Roman"/>
          <w:sz w:val="28"/>
          <w:szCs w:val="28"/>
        </w:rPr>
      </w:pPr>
      <w:r>
        <w:rPr>
          <w:rFonts w:ascii="Times New Roman" w:hAnsi="Times New Roman"/>
          <w:sz w:val="28"/>
          <w:szCs w:val="28"/>
        </w:rPr>
        <w:t>При розробленні МЕП застосовуються принципи просторового планування з метою врахування:</w:t>
      </w:r>
    </w:p>
    <w:p>
      <w:pPr>
        <w:pStyle w:val="Normal"/>
        <w:numPr>
          <w:ilvl w:val="0"/>
          <w:numId w:val="4"/>
        </w:numPr>
        <w:tabs>
          <w:tab w:val="clear" w:pos="709"/>
          <w:tab w:val="left" w:pos="450" w:leader="none"/>
        </w:tabs>
        <w:spacing w:lineRule="auto" w:line="259" w:before="0" w:after="0"/>
        <w:ind w:hanging="283" w:start="450"/>
        <w:jc w:val="both"/>
        <w:rPr/>
      </w:pPr>
      <w:r>
        <w:rPr>
          <w:rFonts w:ascii="Times New Roman" w:hAnsi="Times New Roman"/>
          <w:sz w:val="28"/>
          <w:szCs w:val="28"/>
        </w:rPr>
        <w:t>майбутнього виро</w:t>
      </w:r>
      <w:r>
        <w:rPr>
          <w:rFonts w:ascii="Times New Roman" w:hAnsi="Times New Roman"/>
          <w:sz w:val="28"/>
          <w:szCs w:val="28"/>
        </w:rPr>
        <w:t>бництва та/або генер</w:t>
      </w:r>
      <w:r>
        <w:rPr>
          <w:rFonts w:ascii="Times New Roman" w:hAnsi="Times New Roman"/>
          <w:sz w:val="28"/>
          <w:szCs w:val="28"/>
        </w:rPr>
        <w:t xml:space="preserve">ації енергії </w:t>
      </w:r>
      <w:r>
        <w:rPr>
          <w:rFonts w:ascii="Times New Roman" w:hAnsi="Times New Roman"/>
          <w:sz w:val="28"/>
          <w:szCs w:val="28"/>
        </w:rPr>
        <w:t>в межах</w:t>
      </w:r>
      <w:r>
        <w:rPr>
          <w:rFonts w:ascii="Times New Roman" w:hAnsi="Times New Roman"/>
          <w:sz w:val="28"/>
          <w:szCs w:val="28"/>
        </w:rPr>
        <w:t xml:space="preserve"> територіальної громади;</w:t>
      </w:r>
    </w:p>
    <w:p>
      <w:pPr>
        <w:pStyle w:val="Normal"/>
        <w:numPr>
          <w:ilvl w:val="0"/>
          <w:numId w:val="4"/>
        </w:numPr>
        <w:tabs>
          <w:tab w:val="clear" w:pos="709"/>
          <w:tab w:val="left" w:pos="450" w:leader="none"/>
        </w:tabs>
        <w:ind w:hanging="283" w:start="450"/>
        <w:jc w:val="both"/>
        <w:rPr>
          <w:rFonts w:ascii="Times New Roman" w:hAnsi="Times New Roman"/>
          <w:sz w:val="28"/>
          <w:szCs w:val="28"/>
        </w:rPr>
      </w:pPr>
      <w:r>
        <w:rPr>
          <w:rFonts w:ascii="Times New Roman" w:hAnsi="Times New Roman"/>
          <w:sz w:val="28"/>
          <w:szCs w:val="28"/>
        </w:rPr>
        <w:t>потенційних та наявних джерел енергії (в тому числі відновлюваних джерел енергії) на території територіальної громади;</w:t>
      </w:r>
    </w:p>
    <w:p>
      <w:pPr>
        <w:pStyle w:val="Normal"/>
        <w:numPr>
          <w:ilvl w:val="0"/>
          <w:numId w:val="4"/>
        </w:numPr>
        <w:tabs>
          <w:tab w:val="clear" w:pos="709"/>
          <w:tab w:val="left" w:pos="450" w:leader="none"/>
        </w:tabs>
        <w:ind w:hanging="283" w:start="450"/>
        <w:jc w:val="both"/>
        <w:rPr>
          <w:rFonts w:ascii="Times New Roman" w:hAnsi="Times New Roman"/>
          <w:sz w:val="28"/>
          <w:szCs w:val="28"/>
        </w:rPr>
      </w:pPr>
      <w:r>
        <w:rPr>
          <w:rFonts w:ascii="Times New Roman" w:hAnsi="Times New Roman"/>
          <w:sz w:val="28"/>
          <w:szCs w:val="28"/>
        </w:rPr>
        <w:t>майбутнього попиту на енергію з урахуванням демографічних тенденцій, потенціалу та швидкості термомодернізації будівель, прогнозів щодо зміни клімату тощо;</w:t>
      </w:r>
    </w:p>
    <w:p>
      <w:pPr>
        <w:pStyle w:val="Normal"/>
        <w:numPr>
          <w:ilvl w:val="0"/>
          <w:numId w:val="4"/>
        </w:numPr>
        <w:tabs>
          <w:tab w:val="clear" w:pos="709"/>
          <w:tab w:val="left" w:pos="450" w:leader="none"/>
        </w:tabs>
        <w:ind w:hanging="283" w:start="450"/>
        <w:jc w:val="both"/>
        <w:rPr>
          <w:rFonts w:ascii="Times New Roman" w:hAnsi="Times New Roman"/>
          <w:sz w:val="28"/>
          <w:szCs w:val="28"/>
        </w:rPr>
      </w:pPr>
      <w:r>
        <w:rPr>
          <w:rFonts w:ascii="Times New Roman" w:hAnsi="Times New Roman"/>
          <w:sz w:val="28"/>
          <w:szCs w:val="28"/>
        </w:rPr>
        <w:t>узгодження попиту на енергію з можливостями її виробництва та/або генерації.</w:t>
      </w:r>
    </w:p>
    <w:p>
      <w:pPr>
        <w:pStyle w:val="Normal"/>
        <w:jc w:val="both"/>
        <w:rPr>
          <w:rFonts w:eastAsia="Times New Roman" w:cs="Times New Roman"/>
          <w:color w:val="000000"/>
          <w:shd w:fill="FFFFFF" w:val="clear"/>
          <w:lang w:val="uk-UA"/>
        </w:rPr>
      </w:pPr>
      <w:r>
        <w:rPr>
          <w:rFonts w:ascii="Times New Roman" w:hAnsi="Times New Roman"/>
          <w:strike/>
          <w:sz w:val="28"/>
          <w:szCs w:val="28"/>
        </w:rPr>
      </w:r>
    </w:p>
    <w:p>
      <w:pPr>
        <w:pStyle w:val="Normal"/>
        <w:spacing w:lineRule="auto" w:line="259"/>
        <w:jc w:val="both"/>
        <w:rPr/>
      </w:pPr>
      <w:r>
        <w:rPr>
          <w:rFonts w:eastAsia="Times New Roman" w:cs="Times New Roman" w:ascii="Times New Roman" w:hAnsi="Times New Roman"/>
          <w:b/>
          <w:color w:val="000000"/>
          <w:kern w:val="0"/>
          <w:sz w:val="28"/>
          <w:szCs w:val="28"/>
          <w:lang w:eastAsia="uk-UA"/>
        </w:rPr>
        <w:t xml:space="preserve">2. РЕЗЮМЕ ВИХІДНОГО СТАНУ ЕНЕРГЕТИЧНОГО РОЗВИТКУ </w:t>
      </w:r>
      <w:r>
        <w:rPr>
          <w:rFonts w:eastAsia="Times New Roman" w:cs="Times New Roman" w:ascii="Times New Roman" w:hAnsi="Times New Roman"/>
          <w:b/>
          <w:color w:val="000000"/>
          <w:kern w:val="0"/>
          <w:sz w:val="28"/>
          <w:szCs w:val="28"/>
          <w:lang w:eastAsia="uk-UA"/>
        </w:rPr>
        <w:t xml:space="preserve">ПОКРОВСЬКОЇ МІСЬКОЇ </w:t>
      </w:r>
      <w:r>
        <w:rPr>
          <w:rFonts w:eastAsia="Times New Roman" w:cs="Times New Roman" w:ascii="Times New Roman" w:hAnsi="Times New Roman"/>
          <w:b/>
          <w:color w:val="000000"/>
          <w:kern w:val="0"/>
          <w:sz w:val="28"/>
          <w:szCs w:val="28"/>
          <w:lang w:eastAsia="uk-UA"/>
        </w:rPr>
        <w:t xml:space="preserve">ТЕРИТОРІАЛЬНОЇ ГРОМАДИ </w:t>
      </w:r>
      <w:r>
        <w:rPr>
          <w:rFonts w:eastAsia="Times New Roman" w:cs="Times New Roman" w:ascii="Times New Roman" w:hAnsi="Times New Roman"/>
          <w:b/>
          <w:color w:val="000000"/>
          <w:kern w:val="0"/>
          <w:sz w:val="28"/>
          <w:szCs w:val="28"/>
          <w:lang w:eastAsia="uk-UA"/>
        </w:rPr>
        <w:t>ДНІПРОПЕТРОВСЬКОЇ ОБЛАСТІ</w:t>
      </w:r>
    </w:p>
    <w:p>
      <w:pPr>
        <w:pStyle w:val="Normal"/>
        <w:spacing w:lineRule="auto" w:line="259"/>
        <w:jc w:val="both"/>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r>
    </w:p>
    <w:p>
      <w:pPr>
        <w:pStyle w:val="BodyText"/>
        <w:spacing w:lineRule="auto" w:line="259"/>
        <w:jc w:val="center"/>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t>2.1. З</w:t>
      </w:r>
      <w:r>
        <w:rPr>
          <w:rFonts w:eastAsia="Times New Roman" w:cs="Times New Roman" w:ascii="Times New Roman" w:hAnsi="Times New Roman"/>
          <w:b/>
          <w:color w:val="000000"/>
          <w:kern w:val="0"/>
          <w:sz w:val="28"/>
          <w:szCs w:val="28"/>
          <w:lang w:eastAsia="uk-UA"/>
        </w:rPr>
        <w:t>АГАЛЬН</w:t>
      </w:r>
      <w:r>
        <w:rPr>
          <w:rFonts w:eastAsia="Times New Roman" w:cs="Times New Roman" w:ascii="Times New Roman" w:hAnsi="Times New Roman"/>
          <w:b/>
          <w:color w:val="000000"/>
          <w:kern w:val="0"/>
          <w:sz w:val="28"/>
          <w:szCs w:val="28"/>
          <w:lang w:eastAsia="uk-UA"/>
        </w:rPr>
        <w:t>І</w:t>
      </w:r>
      <w:r>
        <w:rPr>
          <w:rFonts w:eastAsia="Times New Roman" w:cs="Times New Roman" w:ascii="Times New Roman" w:hAnsi="Times New Roman"/>
          <w:b/>
          <w:color w:val="000000"/>
          <w:kern w:val="0"/>
          <w:sz w:val="28"/>
          <w:szCs w:val="28"/>
          <w:lang w:eastAsia="uk-UA"/>
        </w:rPr>
        <w:t xml:space="preserve"> ХАРАКТЕРИСТИК</w:t>
      </w:r>
      <w:r>
        <w:rPr>
          <w:rFonts w:eastAsia="Times New Roman" w:cs="Times New Roman" w:ascii="Times New Roman" w:hAnsi="Times New Roman"/>
          <w:b/>
          <w:color w:val="000000"/>
          <w:kern w:val="0"/>
          <w:sz w:val="28"/>
          <w:szCs w:val="28"/>
          <w:lang w:eastAsia="uk-UA"/>
        </w:rPr>
        <w:t xml:space="preserve">И </w:t>
      </w:r>
      <w:r>
        <w:rPr>
          <w:rFonts w:eastAsia="Times New Roman" w:cs="Times New Roman" w:ascii="Times New Roman" w:hAnsi="Times New Roman"/>
          <w:b/>
          <w:color w:val="000000"/>
          <w:kern w:val="0"/>
          <w:sz w:val="28"/>
          <w:szCs w:val="28"/>
          <w:lang w:eastAsia="uk-UA"/>
        </w:rPr>
        <w:t>ГРОМАДИ</w:t>
      </w:r>
    </w:p>
    <w:p>
      <w:pPr>
        <w:pStyle w:val="Heading4"/>
        <w:spacing w:lineRule="auto" w:line="259"/>
        <w:jc w:val="center"/>
        <w:rPr>
          <w:rFonts w:ascii="Times New Roman" w:hAnsi="Times New Roman" w:eastAsia="Times New Roman" w:cs="Times New Roman"/>
          <w:b/>
          <w:color w:val="000000"/>
          <w:kern w:val="0"/>
          <w:sz w:val="28"/>
          <w:szCs w:val="28"/>
          <w:lang w:eastAsia="uk-UA"/>
        </w:rPr>
      </w:pPr>
      <w:r>
        <w:rPr>
          <w:rFonts w:eastAsia="Times New Roman" w:cs="Times New Roman" w:ascii="Times New Roman" w:hAnsi="Times New Roman"/>
          <w:b/>
          <w:color w:val="000000"/>
          <w:kern w:val="0"/>
          <w:sz w:val="28"/>
          <w:szCs w:val="28"/>
          <w:lang w:eastAsia="uk-UA"/>
        </w:rPr>
        <w:t>2</w:t>
      </w:r>
      <w:r>
        <w:rPr>
          <w:rFonts w:eastAsia="Times New Roman" w:cs="Times New Roman" w:ascii="Times New Roman" w:hAnsi="Times New Roman"/>
          <w:b/>
          <w:color w:val="000000"/>
          <w:kern w:val="0"/>
          <w:sz w:val="28"/>
          <w:szCs w:val="28"/>
          <w:lang w:eastAsia="uk-UA"/>
        </w:rPr>
        <w:t>.1.1. Адміністративно – територіальний устрій</w:t>
      </w:r>
    </w:p>
    <w:p>
      <w:pPr>
        <w:pStyle w:val="Normal"/>
        <w:spacing w:before="57" w:after="57"/>
        <w:ind w:firstLine="567"/>
        <w:jc w:val="both"/>
        <w:rPr>
          <w:rFonts w:ascii="Times New Roman" w:hAnsi="Times New Roman"/>
          <w:sz w:val="28"/>
          <w:szCs w:val="28"/>
        </w:rPr>
      </w:pPr>
      <w:r>
        <w:rPr>
          <w:rFonts w:ascii="Times New Roman" w:hAnsi="Times New Roman"/>
          <w:sz w:val="28"/>
          <w:szCs w:val="28"/>
        </w:rPr>
        <w:t>Регіон має давню історію, адже на його території розташовувалися Базавлуцька та Чортомлицька Січі, а неподалік проходив торговий шлях «З варяг у греки». З Чортомлицькою Січчю, яка у XVII столітті була адміністративним і військовим центром запорізького козацтва, тісно пов'язане життя козацького діяча Івана Сірка.</w:t>
      </w:r>
    </w:p>
    <w:p>
      <w:pPr>
        <w:pStyle w:val="Normal"/>
        <w:spacing w:before="57" w:after="57"/>
        <w:ind w:firstLine="567"/>
        <w:jc w:val="both"/>
        <w:rPr/>
      </w:pPr>
      <w:r>
        <w:rPr>
          <w:rFonts w:ascii="Times New Roman" w:hAnsi="Times New Roman"/>
          <w:sz w:val="28"/>
          <w:szCs w:val="28"/>
        </w:rPr>
        <w:t>Археологічні відкриття поблизу міста Покров мають світове значення. У 1971 році експ</w:t>
      </w:r>
      <w:r>
        <w:rPr>
          <w:rFonts w:ascii="Times New Roman" w:hAnsi="Times New Roman"/>
          <w:b w:val="false"/>
          <w:bCs w:val="false"/>
          <w:sz w:val="28"/>
          <w:szCs w:val="28"/>
        </w:rPr>
        <w:t xml:space="preserve">едиція під керівництвом видатного українського археолога </w:t>
      </w:r>
      <w:r>
        <w:rPr>
          <w:rStyle w:val="Strong"/>
          <w:rFonts w:ascii="Times New Roman" w:hAnsi="Times New Roman"/>
          <w:b w:val="false"/>
          <w:bCs w:val="false"/>
          <w:sz w:val="28"/>
          <w:szCs w:val="28"/>
        </w:rPr>
        <w:t xml:space="preserve">Бориса Мозолевського </w:t>
      </w:r>
      <w:r>
        <w:rPr>
          <w:rFonts w:ascii="Times New Roman" w:hAnsi="Times New Roman"/>
          <w:b w:val="false"/>
          <w:bCs w:val="false"/>
          <w:sz w:val="28"/>
          <w:szCs w:val="28"/>
        </w:rPr>
        <w:t xml:space="preserve">проводила розкопки кургану </w:t>
      </w:r>
      <w:r>
        <w:rPr>
          <w:rStyle w:val="Strong"/>
          <w:rFonts w:ascii="Times New Roman" w:hAnsi="Times New Roman"/>
          <w:b w:val="false"/>
          <w:bCs w:val="false"/>
          <w:sz w:val="28"/>
          <w:szCs w:val="28"/>
        </w:rPr>
        <w:t>Товста Могила</w:t>
      </w:r>
      <w:r>
        <w:rPr>
          <w:rFonts w:ascii="Times New Roman" w:hAnsi="Times New Roman"/>
          <w:b w:val="false"/>
          <w:bCs w:val="false"/>
          <w:sz w:val="28"/>
          <w:szCs w:val="28"/>
        </w:rPr>
        <w:t>, розташованого в м</w:t>
      </w:r>
      <w:r>
        <w:rPr>
          <w:rFonts w:ascii="Times New Roman" w:hAnsi="Times New Roman"/>
          <w:sz w:val="28"/>
          <w:szCs w:val="28"/>
        </w:rPr>
        <w:t>ежах сучасного міста.</w:t>
      </w:r>
    </w:p>
    <w:p>
      <w:pPr>
        <w:pStyle w:val="Normal"/>
        <w:spacing w:before="57" w:after="57"/>
        <w:ind w:firstLine="567"/>
        <w:jc w:val="both"/>
        <w:rPr>
          <w:rFonts w:ascii="Times New Roman" w:hAnsi="Times New Roman"/>
          <w:sz w:val="28"/>
          <w:szCs w:val="28"/>
        </w:rPr>
      </w:pPr>
      <w:r>
        <w:rPr>
          <w:rFonts w:ascii="Times New Roman" w:hAnsi="Times New Roman"/>
          <w:sz w:val="28"/>
          <w:szCs w:val="28"/>
        </w:rPr>
        <w:t>Результатом цих розкопок стало одне з найграндіозніших археологічних відкриттів XX століття — знайдено всесвітньо відому скіфську золоту пектораль, що датується III століттям до нашої ери, та інші численні золоті прикраси скіфського царя, зброя та предмети побуту скіфів. Це відкриття підтвердило важливість регіону як центру скіфської культури в давнину.</w:t>
      </w:r>
    </w:p>
    <w:p>
      <w:pPr>
        <w:pStyle w:val="Normal"/>
        <w:spacing w:before="57" w:after="57"/>
        <w:ind w:firstLine="567"/>
        <w:jc w:val="both"/>
        <w:rPr>
          <w:rFonts w:ascii="Times New Roman" w:hAnsi="Times New Roman"/>
          <w:sz w:val="28"/>
          <w:szCs w:val="28"/>
        </w:rPr>
      </w:pPr>
      <w:r>
        <w:rPr>
          <w:rFonts w:ascii="Times New Roman" w:hAnsi="Times New Roman"/>
          <w:sz w:val="28"/>
          <w:szCs w:val="28"/>
        </w:rPr>
        <w:t xml:space="preserve">Історія Покрова пов'язана з відкриттям марганцевих руд у 1883 році та заснуванням Покровських копалень у 1886 році, що призвело до розвитку шахтарських поселень, які згодом перетворилися на сучасне місто. </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Офіційною датою заснування міста Орджонікідзе (сучасна назва міста — Покров) прийнято вважати 30 жовтня 1956 року, коли рішенням виконавчого комітету Дніпропетровської обласної Ради народних депутатів селище міського типу Орджонікідзе об’єднано з селищами Колонка, Стройка, Хутіром Перший та Олександрівка та утворено населений пункт місто Орджонікідзе. До складу міста також ввійшли такі шахтарські селища як Гірницьке (колишня Причепилівка), Червоний Гірник, Рудник, Підгірна. В 1993 році в межі міста включили село Перевізькі Хутори.</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Покровська міська територіальна громада в рамках адміністративно-територіальної реформи утворилася 23 листопада 2018 року шляхом приєднання Шолоховської сільської ради Нікопольського району до Покровської міської ради Дніпропетровської області.</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До складу громади входять 6 населених пунктів: місто Покров - адміністративний центр, селища Гірницьке та Чортомлик, села Миронівка, Улянівка, Шолохове.</w:t>
      </w:r>
    </w:p>
    <w:p>
      <w:pPr>
        <w:pStyle w:val="Normal"/>
        <w:spacing w:before="57" w:after="57"/>
        <w:ind w:firstLine="567"/>
        <w:jc w:val="both"/>
        <w:rPr>
          <w:rFonts w:ascii="Times New Roman" w:hAnsi="Times New Roman"/>
          <w:sz w:val="28"/>
          <w:szCs w:val="28"/>
          <w:shd w:fill="auto" w:val="clear"/>
        </w:rPr>
      </w:pPr>
      <w:r>
        <w:rPr>
          <w:rFonts w:ascii="Times New Roman" w:hAnsi="Times New Roman"/>
          <w:sz w:val="28"/>
          <w:szCs w:val="28"/>
          <w:shd w:fill="auto" w:val="clear"/>
        </w:rPr>
        <w:t>Історія Покровської територіальної громади охоплює багатий культурний та історичний спадок, зосереджений у Покрові та навколишніх селах і селищах. Кожне з цих поселень має свій унікальний історичний шлях, що додає особливого колориту всій громаді.</w:t>
      </w:r>
    </w:p>
    <w:p>
      <w:pPr>
        <w:pStyle w:val="Normal"/>
        <w:spacing w:before="57" w:after="57"/>
        <w:ind w:firstLine="567"/>
        <w:jc w:val="both"/>
        <w:rPr>
          <w:rFonts w:ascii="Times New Roman" w:hAnsi="Times New Roman"/>
          <w:b/>
          <w:bCs/>
          <w:sz w:val="28"/>
          <w:szCs w:val="28"/>
        </w:rPr>
      </w:pPr>
      <w:r>
        <w:rPr>
          <w:rFonts w:ascii="Times New Roman" w:hAnsi="Times New Roman"/>
          <w:b/>
          <w:bCs/>
          <w:sz w:val="28"/>
          <w:szCs w:val="28"/>
        </w:rPr>
        <w:t>Чортомлик</w:t>
      </w:r>
    </w:p>
    <w:p>
      <w:pPr>
        <w:pStyle w:val="Normal"/>
        <w:spacing w:before="57" w:after="57"/>
        <w:ind w:firstLine="567"/>
        <w:jc w:val="both"/>
        <w:rPr/>
      </w:pPr>
      <w:r>
        <w:rPr>
          <w:rFonts w:ascii="Times New Roman" w:hAnsi="Times New Roman"/>
          <w:sz w:val="28"/>
          <w:szCs w:val="28"/>
        </w:rPr>
        <w:t xml:space="preserve">Історія цієї місцевості тісно пов'язана з </w:t>
      </w:r>
      <w:r>
        <w:rPr>
          <w:rStyle w:val="Strong"/>
          <w:rFonts w:ascii="Times New Roman" w:hAnsi="Times New Roman"/>
          <w:sz w:val="28"/>
          <w:szCs w:val="28"/>
        </w:rPr>
        <w:t>Чортомлицькою Січчю</w:t>
      </w:r>
      <w:r>
        <w:rPr>
          <w:rFonts w:ascii="Times New Roman" w:hAnsi="Times New Roman"/>
          <w:sz w:val="28"/>
          <w:szCs w:val="28"/>
        </w:rPr>
        <w:t xml:space="preserve">, заснованою в 1652 році, яка проіснувала найдовше серед усіх Запорізьких Січей і стала осередком діяльності таких кошових отаманів, як Іван Сірко та Кость Гордієнко. </w:t>
      </w:r>
    </w:p>
    <w:p>
      <w:pPr>
        <w:pStyle w:val="Normal"/>
        <w:spacing w:before="57" w:after="57"/>
        <w:ind w:firstLine="567"/>
        <w:jc w:val="both"/>
        <w:rPr>
          <w:rFonts w:ascii="Times New Roman" w:hAnsi="Times New Roman"/>
          <w:sz w:val="28"/>
          <w:szCs w:val="28"/>
        </w:rPr>
      </w:pPr>
      <w:r>
        <w:rPr>
          <w:rFonts w:ascii="Times New Roman" w:hAnsi="Times New Roman"/>
          <w:sz w:val="28"/>
          <w:szCs w:val="28"/>
        </w:rPr>
        <w:t xml:space="preserve">Історія селища починається з козацького поселення, яке потім було знищене російськими військами за підтримку Мазепи, а сучасне селище сформувалося навколо залізничної станції, побудованої у 1904 році для транспортування марганцевої руди, і спочатку називалося Осокорівка, а з 1910 року отримало сучасну назву. </w:t>
      </w:r>
    </w:p>
    <w:p>
      <w:pPr>
        <w:pStyle w:val="Normal"/>
        <w:spacing w:before="57" w:after="57"/>
        <w:ind w:firstLine="567"/>
        <w:jc w:val="both"/>
        <w:rPr>
          <w:rFonts w:ascii="Times New Roman" w:hAnsi="Times New Roman"/>
          <w:sz w:val="26"/>
          <w:szCs w:val="26"/>
        </w:rPr>
      </w:pPr>
      <w:r>
        <w:rPr>
          <w:rFonts w:ascii="Times New Roman" w:hAnsi="Times New Roman"/>
          <w:color w:val="000000"/>
          <w:sz w:val="28"/>
          <w:szCs w:val="28"/>
        </w:rPr>
        <w:t xml:space="preserve">З </w:t>
      </w:r>
      <w:r>
        <w:rPr>
          <w:rFonts w:ascii="Times New Roman" w:hAnsi="Times New Roman"/>
          <w:color w:val="000000"/>
          <w:sz w:val="28"/>
          <w:szCs w:val="28"/>
        </w:rPr>
        <w:t>1957</w:t>
      </w:r>
      <w:r>
        <w:rPr>
          <w:rStyle w:val="Hyperlink"/>
          <w:rFonts w:ascii="Times New Roman" w:hAnsi="Times New Roman"/>
          <w:color w:val="000000"/>
          <w:sz w:val="28"/>
          <w:szCs w:val="28"/>
          <w:u w:val="none"/>
        </w:rPr>
        <w:t xml:space="preserve"> </w:t>
      </w:r>
      <w:r>
        <w:rPr>
          <w:rFonts w:ascii="Times New Roman" w:hAnsi="Times New Roman"/>
          <w:color w:val="000000"/>
          <w:sz w:val="28"/>
          <w:szCs w:val="28"/>
        </w:rPr>
        <w:t xml:space="preserve">року Чортомлик надано статус </w:t>
      </w:r>
      <w:hyperlink r:id="rId3">
        <w:r>
          <w:rPr>
            <w:rStyle w:val="Hyperlink"/>
            <w:rFonts w:ascii="Times New Roman" w:hAnsi="Times New Roman"/>
            <w:color w:val="000000"/>
            <w:sz w:val="28"/>
            <w:szCs w:val="28"/>
            <w:u w:val="none"/>
          </w:rPr>
          <w:t>селища міського типу</w:t>
        </w:r>
      </w:hyperlink>
      <w:r>
        <w:rPr>
          <w:rFonts w:ascii="Times New Roman" w:hAnsi="Times New Roman"/>
          <w:color w:val="000000"/>
          <w:sz w:val="28"/>
          <w:szCs w:val="28"/>
        </w:rPr>
        <w:t xml:space="preserve">. </w:t>
      </w:r>
      <w:r>
        <w:rPr>
          <w:rFonts w:ascii="Times New Roman" w:hAnsi="Times New Roman"/>
          <w:color w:val="000000"/>
          <w:sz w:val="28"/>
          <w:szCs w:val="28"/>
        </w:rPr>
        <w:t xml:space="preserve">12 червня 2020 </w:t>
      </w:r>
      <w:r>
        <w:rPr>
          <w:rFonts w:ascii="Times New Roman" w:hAnsi="Times New Roman"/>
          <w:color w:val="000000"/>
          <w:sz w:val="28"/>
          <w:szCs w:val="28"/>
        </w:rPr>
        <w:t>року селище увійшло до складу Покровської міської громади.</w:t>
      </w:r>
      <w:r>
        <w:rPr>
          <w:rFonts w:ascii="Times New Roman" w:hAnsi="Times New Roman"/>
          <w:sz w:val="28"/>
          <w:szCs w:val="28"/>
        </w:rPr>
        <w:t xml:space="preserve"> </w:t>
      </w:r>
    </w:p>
    <w:p>
      <w:pPr>
        <w:pStyle w:val="Normal"/>
        <w:spacing w:before="57" w:after="57"/>
        <w:ind w:firstLine="567"/>
        <w:jc w:val="both"/>
        <w:rPr>
          <w:rFonts w:ascii="Times New Roman" w:hAnsi="Times New Roman"/>
          <w:b/>
          <w:bCs/>
          <w:sz w:val="28"/>
          <w:szCs w:val="28"/>
        </w:rPr>
      </w:pPr>
      <w:r>
        <w:rPr>
          <w:rFonts w:ascii="Times New Roman" w:hAnsi="Times New Roman"/>
          <w:b/>
          <w:bCs/>
          <w:sz w:val="28"/>
          <w:szCs w:val="28"/>
        </w:rPr>
        <w:t>Гірни́цьке</w:t>
      </w:r>
    </w:p>
    <w:p>
      <w:pPr>
        <w:pStyle w:val="Normal"/>
        <w:spacing w:before="57" w:after="57"/>
        <w:ind w:firstLine="567"/>
        <w:jc w:val="both"/>
        <w:rPr>
          <w:rFonts w:ascii="Times New Roman" w:hAnsi="Times New Roman"/>
          <w:sz w:val="28"/>
          <w:szCs w:val="28"/>
        </w:rPr>
      </w:pPr>
      <w:r>
        <w:rPr>
          <w:rFonts w:ascii="Times New Roman" w:hAnsi="Times New Roman"/>
          <w:sz w:val="28"/>
          <w:szCs w:val="28"/>
        </w:rPr>
        <w:t>Гірницьке-</w:t>
      </w:r>
      <w:r>
        <w:rPr>
          <w:rFonts w:ascii="Times New Roman" w:hAnsi="Times New Roman"/>
          <w:sz w:val="28"/>
          <w:szCs w:val="28"/>
        </w:rPr>
        <w:t>селище, яке в</w:t>
      </w:r>
      <w:r>
        <w:rPr>
          <w:rFonts w:ascii="Times New Roman" w:hAnsi="Times New Roman"/>
          <w:sz w:val="28"/>
          <w:szCs w:val="28"/>
        </w:rPr>
        <w:t>иникло 1886 р. внаслідок розробки марганцевих родовищ Перші рудники й селище гірників звали Покровськими копальнями. У середині XX ст. мало назву Каганович, з 1957 р. — Гірницьке.</w:t>
      </w:r>
    </w:p>
    <w:p>
      <w:pPr>
        <w:pStyle w:val="Normal"/>
        <w:spacing w:before="57" w:after="57"/>
        <w:ind w:firstLine="567"/>
        <w:jc w:val="both"/>
        <w:rPr>
          <w:rFonts w:ascii="Times New Roman" w:hAnsi="Times New Roman"/>
          <w:b/>
          <w:bCs/>
          <w:sz w:val="28"/>
          <w:szCs w:val="28"/>
        </w:rPr>
      </w:pPr>
      <w:r>
        <w:rPr>
          <w:rFonts w:ascii="Times New Roman" w:hAnsi="Times New Roman"/>
          <w:b/>
          <w:bCs/>
          <w:sz w:val="28"/>
          <w:szCs w:val="28"/>
        </w:rPr>
        <w:t>Шолохове</w:t>
      </w:r>
    </w:p>
    <w:p>
      <w:pPr>
        <w:pStyle w:val="Normal"/>
        <w:spacing w:before="57" w:after="57"/>
        <w:ind w:firstLine="567"/>
        <w:jc w:val="both"/>
        <w:rPr/>
      </w:pPr>
      <w:r>
        <w:rPr>
          <w:rFonts w:ascii="Times New Roman" w:hAnsi="Times New Roman"/>
          <w:color w:val="000000"/>
          <w:sz w:val="28"/>
          <w:szCs w:val="28"/>
          <w:u w:val="none"/>
          <w:shd w:fill="auto" w:val="clear"/>
        </w:rPr>
        <w:t xml:space="preserve">Історія села Шолохове сягає глибокої давнини. Село заснувалося </w:t>
      </w:r>
      <w:r>
        <w:rPr>
          <w:rStyle w:val="Hyperlink"/>
          <w:rFonts w:ascii="Times New Roman" w:hAnsi="Times New Roman"/>
          <w:color w:val="000000"/>
          <w:sz w:val="28"/>
          <w:szCs w:val="28"/>
          <w:u w:val="none"/>
          <w:shd w:fill="auto" w:val="clear"/>
        </w:rPr>
        <w:t xml:space="preserve">в 1740 році за часів Запорозької Січі як козацьке займище, де мешкали родини та челядь запорозької старшини. </w:t>
      </w:r>
    </w:p>
    <w:p>
      <w:pPr>
        <w:pStyle w:val="Normal"/>
        <w:spacing w:before="57" w:after="57"/>
        <w:ind w:firstLine="567"/>
        <w:jc w:val="both"/>
        <w:rPr/>
      </w:pPr>
      <w:r>
        <w:rPr>
          <w:rStyle w:val="Hyperlink"/>
          <w:rFonts w:ascii="Times New Roman" w:hAnsi="Times New Roman"/>
          <w:color w:val="000000"/>
          <w:sz w:val="28"/>
          <w:szCs w:val="28"/>
          <w:u w:val="none"/>
          <w:shd w:fill="auto" w:val="clear"/>
        </w:rPr>
        <w:t xml:space="preserve">Після ліквідації Запорозької Січі, село було перетворене на державну військову слободу, а у 1782 році тут було вже 215 жителів. Кількість населення в слободі збільшувалося за рахунок селян-кріпаків з Правобережної та Лівобережної України, з російських губерній. Вважається, що до 1740 р. першим тут оселився козак Шолох, який дав назву населеному пункту. </w:t>
      </w:r>
    </w:p>
    <w:p>
      <w:pPr>
        <w:pStyle w:val="Normal"/>
        <w:spacing w:before="57" w:after="57"/>
        <w:ind w:firstLine="567"/>
        <w:jc w:val="both"/>
        <w:rPr/>
      </w:pPr>
      <w:r>
        <w:rPr>
          <w:rStyle w:val="Hyperlink"/>
          <w:rFonts w:ascii="Times New Roman" w:hAnsi="Times New Roman"/>
          <w:color w:val="000000"/>
          <w:sz w:val="28"/>
          <w:szCs w:val="28"/>
          <w:u w:val="none"/>
          <w:shd w:fill="auto" w:val="clear"/>
        </w:rPr>
        <w:t xml:space="preserve">Поблизу села виявлено поселення доби бронзи, скіфського та сарматського періодів, що свідчить про давню історію місцевості.  </w:t>
      </w:r>
    </w:p>
    <w:p>
      <w:pPr>
        <w:pStyle w:val="Normal"/>
        <w:spacing w:before="57" w:after="57"/>
        <w:ind w:firstLine="567"/>
        <w:jc w:val="both"/>
        <w:rPr/>
      </w:pPr>
      <w:r>
        <w:rPr>
          <w:rStyle w:val="Hyperlink"/>
          <w:rFonts w:ascii="Times New Roman" w:hAnsi="Times New Roman"/>
          <w:color w:val="000000"/>
          <w:sz w:val="28"/>
          <w:szCs w:val="28"/>
          <w:u w:val="none"/>
          <w:shd w:fill="auto" w:val="clear"/>
        </w:rPr>
        <w:t>У селі Шолохове розташована пам’ятка культури - Комплекс земської лікарні побудований на початку ХХ ст.</w:t>
      </w:r>
    </w:p>
    <w:p>
      <w:pPr>
        <w:pStyle w:val="Normal"/>
        <w:spacing w:before="57" w:after="57"/>
        <w:ind w:firstLine="567"/>
        <w:jc w:val="both"/>
        <w:rPr/>
      </w:pPr>
      <w:r>
        <w:rPr>
          <w:rStyle w:val="Hyperlink"/>
          <w:rFonts w:ascii="Times New Roman" w:hAnsi="Times New Roman"/>
          <w:color w:val="000000"/>
          <w:sz w:val="28"/>
          <w:szCs w:val="28"/>
          <w:u w:val="none"/>
          <w:shd w:fill="auto" w:val="clear"/>
        </w:rPr>
        <w:t>Комплекс земської лікарні зводиться між 1900 р. – І</w:t>
      </w:r>
      <w:r>
        <w:rPr>
          <w:rFonts w:ascii="Times New Roman" w:hAnsi="Times New Roman"/>
          <w:color w:val="000000"/>
          <w:sz w:val="28"/>
          <w:szCs w:val="28"/>
          <w:u w:val="none"/>
          <w:shd w:fill="auto" w:val="clear"/>
        </w:rPr>
        <w:t xml:space="preserve"> п</w:t>
      </w:r>
      <w:r>
        <w:rPr>
          <w:rFonts w:ascii="Times New Roman" w:hAnsi="Times New Roman"/>
          <w:sz w:val="28"/>
          <w:szCs w:val="28"/>
        </w:rPr>
        <w:t>ол. 1910-х рр. як частина державної земської освітньої та медичної реформи, запропонованої ще імператором Олександром ІІ у 1864 р. У лютому 1944 р. будівлі використовувались під тимчасовий штаб і командний пункт 62-ї армії, під командуванням Двічі Героя Радянського Союзу маршала Василя Івановича Чуйкова.</w:t>
      </w:r>
    </w:p>
    <w:p>
      <w:pPr>
        <w:pStyle w:val="Normal"/>
        <w:spacing w:before="57" w:after="57"/>
        <w:ind w:firstLine="567"/>
        <w:jc w:val="both"/>
        <w:rPr/>
      </w:pPr>
      <w:r>
        <w:rPr>
          <w:rStyle w:val="Hyperlink"/>
          <w:rFonts w:ascii="Times New Roman" w:hAnsi="Times New Roman"/>
          <w:color w:val="000000"/>
          <w:sz w:val="28"/>
          <w:szCs w:val="28"/>
          <w:u w:val="none"/>
        </w:rPr>
        <w:t>До 2018 року було адміністративним центром Шолоховської сільської ради.</w:t>
      </w:r>
    </w:p>
    <w:p>
      <w:pPr>
        <w:pStyle w:val="Normal"/>
        <w:spacing w:before="57" w:after="57"/>
        <w:ind w:firstLine="567"/>
        <w:jc w:val="both"/>
        <w:rPr>
          <w:rFonts w:ascii="Times New Roman" w:hAnsi="Times New Roman"/>
          <w:b/>
          <w:bCs/>
          <w:color w:val="000000"/>
          <w:sz w:val="28"/>
          <w:szCs w:val="28"/>
          <w:u w:val="none"/>
        </w:rPr>
      </w:pPr>
      <w:r>
        <w:rPr>
          <w:rFonts w:ascii="Times New Roman" w:hAnsi="Times New Roman"/>
          <w:b/>
          <w:bCs/>
          <w:color w:val="000000"/>
          <w:sz w:val="28"/>
          <w:szCs w:val="28"/>
          <w:u w:val="none"/>
        </w:rPr>
        <w:t>Миронівка та Улянівка</w:t>
      </w:r>
    </w:p>
    <w:p>
      <w:pPr>
        <w:pStyle w:val="Normal"/>
        <w:spacing w:before="57" w:after="57"/>
        <w:ind w:firstLine="567"/>
        <w:jc w:val="both"/>
        <w:rPr/>
      </w:pPr>
      <w:r>
        <w:rPr>
          <w:rStyle w:val="Hyperlink"/>
          <w:rFonts w:ascii="Times New Roman" w:hAnsi="Times New Roman"/>
          <w:color w:val="000000"/>
          <w:sz w:val="28"/>
          <w:szCs w:val="28"/>
          <w:u w:val="none"/>
        </w:rPr>
        <w:t>Села Миронівка та Улянівка також мають свою давню історію, адже поблизу них археологами виявлені чисельні скіфські кургани, серед яких такі відомі, як «Могила Токова та Могила Орлова», «Могила Апонова».</w:t>
      </w:r>
    </w:p>
    <w:p>
      <w:pPr>
        <w:pStyle w:val="Normal"/>
        <w:spacing w:lineRule="auto" w:line="240"/>
        <w:ind w:firstLine="567"/>
        <w:jc w:val="both"/>
        <w:rPr>
          <w:rFonts w:ascii="Times New Roman" w:hAnsi="Times New Roman"/>
          <w:sz w:val="20"/>
          <w:szCs w:val="20"/>
        </w:rPr>
      </w:pPr>
      <w:r>
        <w:rPr>
          <w:rFonts w:ascii="Times New Roman" w:hAnsi="Times New Roman"/>
          <w:sz w:val="20"/>
          <w:szCs w:val="20"/>
        </w:rPr>
      </w:r>
    </w:p>
    <w:p>
      <w:pPr>
        <w:pStyle w:val="BodyText"/>
        <w:pBdr/>
        <w:ind w:hanging="0" w:start="540" w:end="0"/>
        <w:jc w:val="center"/>
        <w:rPr>
          <w:rFonts w:ascii="Times New Roman" w:hAnsi="Times New Roman" w:eastAsia="Times New Roman" w:cs="Times New Roman"/>
          <w:b/>
          <w:bCs/>
          <w:color w:val="000000"/>
          <w:kern w:val="0"/>
          <w:sz w:val="28"/>
          <w:szCs w:val="28"/>
          <w:lang w:eastAsia="uk-UA"/>
        </w:rPr>
      </w:pPr>
      <w:r>
        <w:rPr>
          <w:rFonts w:eastAsia="Times New Roman" w:cs="Times New Roman" w:ascii="Times New Roman" w:hAnsi="Times New Roman"/>
          <w:b/>
          <w:bCs/>
          <w:color w:val="000000"/>
          <w:kern w:val="0"/>
          <w:sz w:val="28"/>
          <w:szCs w:val="28"/>
          <w:lang w:eastAsia="uk-UA"/>
        </w:rPr>
        <w:t>2.1.2. Географі</w:t>
      </w:r>
      <w:r>
        <w:rPr>
          <w:rFonts w:eastAsia="Times New Roman" w:cs="Times New Roman" w:ascii="Times New Roman" w:hAnsi="Times New Roman"/>
          <w:b/>
          <w:bCs/>
          <w:color w:val="000000"/>
          <w:kern w:val="0"/>
          <w:sz w:val="28"/>
          <w:szCs w:val="28"/>
          <w:lang w:eastAsia="uk-UA"/>
        </w:rPr>
        <w:t>чне положення</w:t>
      </w:r>
      <w:r>
        <w:rPr>
          <w:rFonts w:eastAsia="Times New Roman" w:cs="Times New Roman" w:ascii="Times New Roman" w:hAnsi="Times New Roman"/>
          <w:b/>
          <w:bCs/>
          <w:color w:val="000000"/>
          <w:kern w:val="0"/>
          <w:sz w:val="28"/>
          <w:szCs w:val="28"/>
          <w:lang w:eastAsia="uk-UA"/>
        </w:rPr>
        <w:t xml:space="preserve"> та клімат</w:t>
      </w:r>
      <w:r>
        <w:rPr>
          <w:rFonts w:eastAsia="Times New Roman" w:cs="Times New Roman" w:ascii="Times New Roman" w:hAnsi="Times New Roman"/>
          <w:b/>
          <w:bCs/>
          <w:color w:val="000000"/>
          <w:kern w:val="0"/>
          <w:sz w:val="28"/>
          <w:szCs w:val="28"/>
          <w:lang w:eastAsia="uk-UA"/>
        </w:rPr>
        <w:t>ичні умови</w:t>
      </w:r>
    </w:p>
    <w:p>
      <w:pPr>
        <w:pStyle w:val="Normal"/>
        <w:spacing w:before="57" w:after="57"/>
        <w:ind w:firstLine="567"/>
        <w:jc w:val="both"/>
        <w:rPr>
          <w:rFonts w:ascii="Times New Roman" w:hAnsi="Times New Roman"/>
          <w:sz w:val="26"/>
          <w:szCs w:val="26"/>
        </w:rPr>
      </w:pPr>
      <w:r>
        <w:rPr>
          <w:rFonts w:ascii="Times New Roman" w:hAnsi="Times New Roman"/>
          <w:sz w:val="28"/>
          <w:szCs w:val="28"/>
        </w:rPr>
        <w:t>Покровська міська територіальна громада розташована на півдні України в Нікопольському районі Дніпропетровської області, у степовій зоні, у басейні річок Базавлук, Солона та Каховського водосховища. Відстань до облцентру становить майже 150 км. Корисні копалини: марганцева руда.</w:t>
      </w:r>
    </w:p>
    <w:p>
      <w:pPr>
        <w:pStyle w:val="Normal"/>
        <w:spacing w:lineRule="auto" w:line="240" w:before="0" w:after="0"/>
        <w:ind w:firstLine="567"/>
        <w:jc w:val="both"/>
        <w:rPr>
          <w:rFonts w:ascii="Times New Roman" w:hAnsi="Times New Roman"/>
          <w:sz w:val="26"/>
          <w:szCs w:val="26"/>
        </w:rPr>
      </w:pPr>
      <w:r>
        <w:rPr>
          <w:rFonts w:ascii="Times New Roman" w:hAnsi="Times New Roman"/>
          <w:sz w:val="28"/>
          <w:szCs w:val="28"/>
        </w:rPr>
        <w:t>Клімат — помірно континентальний. Середня температура січня становить від −5 °C в південно-західній частині до −6,5 °C на північному сході; липня — відповідно +23,5 °C та +22 °C. Опадів за рік випадає від 450 мм на півдні до 400 мм — на півночі.</w:t>
      </w:r>
    </w:p>
    <w:p>
      <w:pPr>
        <w:pStyle w:val="Heading4"/>
        <w:spacing w:lineRule="auto" w:line="240" w:before="234" w:after="234"/>
        <w:ind w:firstLine="567"/>
        <w:jc w:val="center"/>
        <w:rPr>
          <w:rFonts w:ascii="Times New Roman" w:hAnsi="Times New Roman"/>
          <w:sz w:val="26"/>
          <w:szCs w:val="26"/>
        </w:rPr>
      </w:pPr>
      <w:r>
        <w:rPr>
          <w:rFonts w:ascii="Times New Roman" w:hAnsi="Times New Roman"/>
          <w:sz w:val="28"/>
          <w:szCs w:val="28"/>
        </w:rPr>
        <w:t>2.1.3. Демографічна ситуація</w:t>
      </w:r>
    </w:p>
    <w:p>
      <w:pPr>
        <w:pStyle w:val="Normal"/>
        <w:ind w:firstLine="567"/>
        <w:jc w:val="both"/>
        <w:rPr>
          <w:rFonts w:ascii="Times New Roman" w:hAnsi="Times New Roman"/>
          <w:sz w:val="26"/>
          <w:szCs w:val="26"/>
        </w:rPr>
      </w:pPr>
      <w:r>
        <w:rPr>
          <w:rFonts w:ascii="Times New Roman" w:hAnsi="Times New Roman"/>
          <w:sz w:val="28"/>
          <w:szCs w:val="28"/>
        </w:rPr>
        <w:t xml:space="preserve">Покровська </w:t>
      </w:r>
      <w:r>
        <w:rPr>
          <w:rFonts w:ascii="Times New Roman" w:hAnsi="Times New Roman"/>
          <w:sz w:val="28"/>
          <w:szCs w:val="28"/>
        </w:rPr>
        <w:t>міська</w:t>
      </w:r>
      <w:r>
        <w:rPr>
          <w:rFonts w:ascii="Times New Roman" w:hAnsi="Times New Roman"/>
          <w:sz w:val="28"/>
          <w:szCs w:val="28"/>
        </w:rPr>
        <w:t xml:space="preserve"> територіальна громада займає площу 170,1 км</w:t>
      </w:r>
      <w:r>
        <w:rPr>
          <w:rFonts w:ascii="Times New Roman" w:hAnsi="Times New Roman"/>
          <w:sz w:val="28"/>
          <w:szCs w:val="28"/>
          <w:vertAlign w:val="superscript"/>
        </w:rPr>
        <w:t>2</w:t>
      </w:r>
      <w:r>
        <w:rPr>
          <w:rFonts w:ascii="Times New Roman" w:hAnsi="Times New Roman"/>
          <w:sz w:val="28"/>
          <w:szCs w:val="28"/>
        </w:rPr>
        <w:t xml:space="preserve"> з населенням 42 192 мешканця.</w:t>
      </w:r>
    </w:p>
    <w:p>
      <w:pPr>
        <w:pStyle w:val="Normal"/>
        <w:ind w:firstLine="567"/>
        <w:jc w:val="both"/>
        <w:rPr>
          <w:rFonts w:ascii="Times New Roman" w:hAnsi="Times New Roman"/>
          <w:sz w:val="26"/>
          <w:szCs w:val="26"/>
        </w:rPr>
      </w:pPr>
      <w:r>
        <w:rPr/>
      </w:r>
    </w:p>
    <w:p>
      <w:pPr>
        <w:pStyle w:val="Normal"/>
        <w:spacing w:lineRule="auto" w:line="240" w:before="0" w:after="0"/>
        <w:jc w:val="center"/>
        <w:rPr/>
      </w:pPr>
      <w:r>
        <w:rPr>
          <w:rFonts w:eastAsia="Times New Roman" w:cs="Times New Roman" w:ascii="Times New Roman" w:hAnsi="Times New Roman"/>
          <w:b/>
          <w:bCs/>
          <w:color w:val="000000"/>
          <w:kern w:val="2"/>
          <w:sz w:val="28"/>
          <w:szCs w:val="28"/>
          <w:shd w:fill="auto" w:val="clear"/>
          <w:lang w:val="uk-UA" w:eastAsia="ru-RU" w:bidi="hi-IN"/>
        </w:rPr>
        <w:t>Ч</w:t>
      </w:r>
      <w:r>
        <w:rPr>
          <w:rFonts w:eastAsia="Times New Roman" w:cs="Times New Roman" w:ascii="Times New Roman" w:hAnsi="Times New Roman"/>
          <w:b/>
          <w:bCs/>
          <w:color w:val="000000"/>
          <w:kern w:val="2"/>
          <w:sz w:val="28"/>
          <w:szCs w:val="28"/>
          <w:shd w:fill="auto" w:val="clear"/>
          <w:lang w:val="uk-UA" w:eastAsia="ru-RU" w:bidi="hi-IN"/>
        </w:rPr>
        <w:t xml:space="preserve">исельність населення Покровської міської територіальної громади </w:t>
      </w:r>
      <w:r>
        <w:rPr>
          <w:rFonts w:eastAsia="Times New Roman" w:cs="Times New Roman" w:ascii="Times New Roman" w:hAnsi="Times New Roman"/>
          <w:b/>
          <w:bCs/>
          <w:color w:val="000000"/>
          <w:kern w:val="0"/>
          <w:sz w:val="28"/>
          <w:szCs w:val="28"/>
          <w:shd w:fill="auto" w:val="clear"/>
          <w:lang w:val="uk-UA" w:eastAsia="zh-CN" w:bidi="hi-IN"/>
        </w:rPr>
        <w:t>Дніпропетровської області станом на 01.01.2022</w:t>
      </w:r>
    </w:p>
    <w:p>
      <w:pPr>
        <w:pStyle w:val="Normal"/>
        <w:spacing w:lineRule="auto" w:line="240" w:before="0" w:after="0"/>
        <w:jc w:val="center"/>
        <w:rPr>
          <w:rFonts w:ascii="Times New Roman" w:hAnsi="Times New Roman"/>
          <w:sz w:val="28"/>
          <w:szCs w:val="28"/>
        </w:rPr>
      </w:pPr>
      <w:r>
        <w:rPr>
          <w:rFonts w:eastAsia="Times New Roman" w:cs="Times New Roman" w:ascii="Times New Roman" w:hAnsi="Times New Roman"/>
          <w:b/>
          <w:bCs/>
          <w:color w:val="000000"/>
          <w:kern w:val="0"/>
          <w:sz w:val="28"/>
          <w:szCs w:val="28"/>
          <w:shd w:fill="auto" w:val="clear"/>
          <w:lang w:val="uk-UA" w:eastAsia="zh-CN" w:bidi="hi-IN"/>
        </w:rPr>
        <w:t>у розрізі населених пунктів</w:t>
      </w:r>
      <w:r>
        <w:rPr>
          <w:rFonts w:eastAsia="Times New Roman" w:cs="Times New Roman" w:ascii="Times New Roman" w:hAnsi="Times New Roman"/>
          <w:b/>
          <w:bCs/>
          <w:color w:val="000000"/>
          <w:kern w:val="0"/>
          <w:sz w:val="28"/>
          <w:szCs w:val="28"/>
          <w:shd w:fill="auto" w:val="clear"/>
          <w:lang w:val="uk-UA" w:eastAsia="zh-CN" w:bidi="hi-IN"/>
        </w:rPr>
        <w:t>*</w:t>
      </w:r>
    </w:p>
    <w:tbl>
      <w:tblPr>
        <w:tblW w:w="5000" w:type="pct"/>
        <w:jc w:val="start"/>
        <w:tblInd w:w="-5" w:type="dxa"/>
        <w:tblLayout w:type="fixed"/>
        <w:tblCellMar>
          <w:top w:w="55" w:type="dxa"/>
          <w:start w:w="55" w:type="dxa"/>
          <w:bottom w:w="55" w:type="dxa"/>
          <w:end w:w="55" w:type="dxa"/>
        </w:tblCellMar>
      </w:tblPr>
      <w:tblGrid>
        <w:gridCol w:w="4677"/>
        <w:gridCol w:w="4678"/>
      </w:tblGrid>
      <w:tr>
        <w:trPr/>
        <w:tc>
          <w:tcPr>
            <w:tcW w:w="4677" w:type="dxa"/>
            <w:tcBorders>
              <w:top w:val="single" w:sz="4" w:space="0" w:color="000000"/>
              <w:start w:val="single" w:sz="4" w:space="0" w:color="000000"/>
              <w:bottom w:val="single" w:sz="4" w:space="0" w:color="000000"/>
            </w:tcBorders>
          </w:tcPr>
          <w:p>
            <w:pPr>
              <w:pStyle w:val="Style20"/>
              <w:snapToGrid w:val="false"/>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r>
          </w:p>
        </w:tc>
        <w:tc>
          <w:tcPr>
            <w:tcW w:w="4678"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cs="Times New Roman"/>
                <w:sz w:val="28"/>
                <w:szCs w:val="28"/>
                <w:lang w:val="uk-UA"/>
              </w:rPr>
            </w:pPr>
            <w:r>
              <w:rPr>
                <w:rFonts w:cs="Times New Roman" w:ascii="Times New Roman" w:hAnsi="Times New Roman"/>
                <w:sz w:val="28"/>
                <w:szCs w:val="28"/>
                <w:lang w:val="uk-UA"/>
              </w:rPr>
              <w:t>Осіб</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b/>
                <w:bCs/>
                <w:sz w:val="28"/>
                <w:szCs w:val="28"/>
                <w:lang w:val="uk-UA"/>
              </w:rPr>
            </w:pPr>
            <w:r>
              <w:rPr>
                <w:rFonts w:cs="Times New Roman" w:ascii="Times New Roman" w:hAnsi="Times New Roman"/>
                <w:b/>
                <w:bCs/>
                <w:sz w:val="28"/>
                <w:szCs w:val="28"/>
                <w:lang w:val="uk-UA"/>
              </w:rPr>
              <w:t>Покровська міська ТГ, усього</w:t>
            </w:r>
          </w:p>
        </w:tc>
        <w:tc>
          <w:tcPr>
            <w:tcW w:w="4678" w:type="dxa"/>
            <w:tcBorders>
              <w:start w:val="single" w:sz="4" w:space="0" w:color="000000"/>
              <w:bottom w:val="single" w:sz="4" w:space="0" w:color="000000"/>
              <w:end w:val="single" w:sz="4" w:space="0" w:color="000000"/>
            </w:tcBorders>
          </w:tcPr>
          <w:p>
            <w:pPr>
              <w:pStyle w:val="Style20"/>
              <w:suppressAutoHyphens w:val="false"/>
              <w:kinsoku w:val="true"/>
              <w:overflowPunct w:val="true"/>
              <w:autoSpaceDE w:val="true"/>
              <w:bidi w:val="0"/>
              <w:spacing w:lineRule="auto" w:line="240"/>
              <w:jc w:val="end"/>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42192</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м. Покров</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37493</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селище Гірницьке</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341</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селище Чортомлик</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1290</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 Миронівка</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274</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 Улянівка</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109</w:t>
            </w:r>
          </w:p>
        </w:tc>
      </w:tr>
      <w:tr>
        <w:trPr/>
        <w:tc>
          <w:tcPr>
            <w:tcW w:w="4677" w:type="dxa"/>
            <w:tcBorders>
              <w:start w:val="single" w:sz="4" w:space="0" w:color="000000"/>
              <w:bottom w:val="single" w:sz="4" w:space="0" w:color="000000"/>
            </w:tcBorders>
          </w:tcPr>
          <w:p>
            <w:pPr>
              <w:pStyle w:val="Style20"/>
              <w:spacing w:lineRule="auto" w:line="240"/>
              <w:jc w:val="both"/>
              <w:rPr>
                <w:rFonts w:ascii="Times New Roman" w:hAnsi="Times New Roman" w:cs="Times New Roman"/>
                <w:sz w:val="28"/>
                <w:szCs w:val="28"/>
                <w:lang w:val="uk-UA"/>
              </w:rPr>
            </w:pPr>
            <w:r>
              <w:rPr>
                <w:rFonts w:cs="Times New Roman" w:ascii="Times New Roman" w:hAnsi="Times New Roman"/>
                <w:sz w:val="28"/>
                <w:szCs w:val="28"/>
                <w:lang w:val="uk-UA"/>
              </w:rPr>
              <w:t>с. Шолохове</w:t>
            </w:r>
          </w:p>
        </w:tc>
        <w:tc>
          <w:tcPr>
            <w:tcW w:w="4678" w:type="dxa"/>
            <w:tcBorders>
              <w:start w:val="single" w:sz="4" w:space="0" w:color="000000"/>
              <w:bottom w:val="single" w:sz="4" w:space="0" w:color="000000"/>
              <w:end w:val="single" w:sz="4" w:space="0" w:color="000000"/>
            </w:tcBorders>
          </w:tcPr>
          <w:p>
            <w:pPr>
              <w:pStyle w:val="Style20"/>
              <w:spacing w:lineRule="auto" w:line="240"/>
              <w:jc w:val="end"/>
              <w:rPr>
                <w:rFonts w:ascii="Times New Roman" w:hAnsi="Times New Roman" w:cs="Times New Roman"/>
                <w:sz w:val="28"/>
                <w:szCs w:val="28"/>
                <w:lang w:val="uk-UA"/>
              </w:rPr>
            </w:pPr>
            <w:r>
              <w:rPr>
                <w:rFonts w:cs="Times New Roman" w:ascii="Times New Roman" w:hAnsi="Times New Roman"/>
                <w:sz w:val="28"/>
                <w:szCs w:val="28"/>
                <w:lang w:val="uk-UA"/>
              </w:rPr>
              <w:t>2685</w:t>
            </w:r>
          </w:p>
        </w:tc>
      </w:tr>
    </w:tbl>
    <w:p>
      <w:pPr>
        <w:pStyle w:val="Normal"/>
        <w:ind w:firstLine="567"/>
        <w:jc w:val="both"/>
        <w:rPr>
          <w:rFonts w:ascii="Times New Roman" w:hAnsi="Times New Roman"/>
          <w:sz w:val="26"/>
          <w:szCs w:val="26"/>
        </w:rPr>
      </w:pPr>
      <w:r>
        <w:rPr>
          <w:rFonts w:ascii="Times New Roman" w:hAnsi="Times New Roman"/>
          <w:sz w:val="28"/>
          <w:szCs w:val="28"/>
          <w:shd w:fill="auto" w:val="clear"/>
        </w:rPr>
        <w:t xml:space="preserve">* </w:t>
      </w:r>
      <w:r>
        <w:rPr>
          <w:rFonts w:ascii="Times New Roman" w:hAnsi="Times New Roman"/>
          <w:sz w:val="28"/>
          <w:szCs w:val="28"/>
          <w:shd w:fill="auto" w:val="clear"/>
        </w:rPr>
        <w:t xml:space="preserve">у період дії воєнного стану </w:t>
      </w:r>
      <w:r>
        <w:rPr>
          <w:rFonts w:ascii="Times New Roman" w:hAnsi="Times New Roman"/>
          <w:sz w:val="28"/>
          <w:szCs w:val="28"/>
          <w:shd w:fill="auto" w:val="clear"/>
        </w:rPr>
        <w:t>або стану війни</w:t>
      </w:r>
      <w:r>
        <w:rPr>
          <w:rFonts w:ascii="Times New Roman" w:hAnsi="Times New Roman"/>
          <w:sz w:val="28"/>
          <w:szCs w:val="28"/>
          <w:shd w:fill="auto" w:val="clear"/>
        </w:rPr>
        <w:t>, а також протягом трьох місяців після його завершення статистична інформація може не формуватись та не поширюватися, зважаючи на відсутність адміністративних даних, подання яких вимагається до норм чинного законодавства. Формування органами державної статистики об'єктивної статистичної інформації щодо чисельності населення, починаючи з даних станом на 01.03.2022, призупинено.</w:t>
      </w:r>
    </w:p>
    <w:p>
      <w:pPr>
        <w:pStyle w:val="Normal"/>
        <w:spacing w:lineRule="auto" w:line="240"/>
        <w:ind w:firstLine="567"/>
        <w:jc w:val="both"/>
        <w:rPr>
          <w:rFonts w:ascii="Times New Roman" w:hAnsi="Times New Roman"/>
          <w:sz w:val="26"/>
          <w:szCs w:val="26"/>
        </w:rPr>
      </w:pPr>
      <w:r>
        <w:rPr>
          <w:rFonts w:ascii="Times New Roman" w:hAnsi="Times New Roman"/>
          <w:sz w:val="28"/>
          <w:szCs w:val="28"/>
        </w:rPr>
        <w:t xml:space="preserve">Демографічна ситуація у громаді </w:t>
      </w:r>
      <w:r>
        <w:rPr>
          <w:rFonts w:ascii="Times New Roman" w:hAnsi="Times New Roman"/>
          <w:sz w:val="28"/>
          <w:szCs w:val="28"/>
        </w:rPr>
        <w:t>з</w:t>
      </w:r>
      <w:r>
        <w:rPr>
          <w:rFonts w:ascii="Times New Roman" w:hAnsi="Times New Roman"/>
          <w:sz w:val="28"/>
          <w:szCs w:val="28"/>
        </w:rPr>
        <w:t xml:space="preserve"> 2022 ро</w:t>
      </w:r>
      <w:r>
        <w:rPr>
          <w:rFonts w:ascii="Times New Roman" w:hAnsi="Times New Roman"/>
          <w:sz w:val="28"/>
          <w:szCs w:val="28"/>
        </w:rPr>
        <w:t>ку</w:t>
      </w:r>
      <w:r>
        <w:rPr>
          <w:rFonts w:ascii="Times New Roman" w:hAnsi="Times New Roman"/>
          <w:sz w:val="28"/>
          <w:szCs w:val="28"/>
        </w:rPr>
        <w:t xml:space="preserve"> змінювалась основним чином під впливом міграційних процесів, викликаних війною – виїзд місцевих мешканців за кордон та в інші регіони країни, поповнення населення громади внаслідок внутрішньо переміщених осіб (ВПО), переважна більшість яких жінки з дітьми. З початку війни у місті пройшло реєстрацію 15 тисяч внутрішньо переміщених осіб, з них більш як 3 тисячі — діти.</w:t>
      </w:r>
    </w:p>
    <w:p>
      <w:pPr>
        <w:pStyle w:val="Heading4"/>
        <w:keepNext w:val="true"/>
        <w:spacing w:lineRule="auto" w:line="240" w:before="234" w:after="234"/>
        <w:ind w:firstLine="567"/>
        <w:jc w:val="center"/>
        <w:rPr>
          <w:rFonts w:ascii="Times New Roman" w:hAnsi="Times New Roman"/>
          <w:sz w:val="26"/>
          <w:szCs w:val="26"/>
        </w:rPr>
      </w:pPr>
      <w:bookmarkStart w:id="19" w:name="_Toc195651476"/>
      <w:r>
        <w:rPr>
          <w:rFonts w:ascii="Times New Roman" w:hAnsi="Times New Roman"/>
          <w:sz w:val="28"/>
          <w:szCs w:val="28"/>
        </w:rPr>
        <w:t>2.1.</w:t>
      </w:r>
      <w:r>
        <w:rPr>
          <w:rFonts w:ascii="Times New Roman" w:hAnsi="Times New Roman"/>
          <w:sz w:val="28"/>
          <w:szCs w:val="28"/>
        </w:rPr>
        <w:t>4</w:t>
      </w:r>
      <w:r>
        <w:rPr>
          <w:rFonts w:ascii="Times New Roman" w:hAnsi="Times New Roman"/>
          <w:sz w:val="28"/>
          <w:szCs w:val="28"/>
        </w:rPr>
        <w:t>. Оцінка економічного потенціалу громади</w:t>
      </w:r>
      <w:bookmarkEnd w:id="19"/>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Місцева економіка до початку військової агресії російської федерації проти України була представлена традиційними секторами - добувною та переробною промисловістю, агропромисловим комплексом. </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В громаді зареєстровано 2151 суб’єктів господарювання, з них: 1680 фізичних осіб-підприємців,  471 юридична особа.</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Провідними виробниками промислової продукції Покровської міської територіальної громади є: АТ "Покровський гірничо-збагачувальний комбінат" (добувна промисловість і розроблення кар’єрів), ТОВ "Резинопласт" (переробна промисловість - виробництво гумових і пластмасових виробів, іншої неметалевої мінеральної продукції), ТОВ "Проктер енд гембл Україна" (переробна промисловість - виробництво хімічних речовин і хімічної продукції), ТОВ Агрофірма “Берегиня”, ТОВ “Базавлук”, СФГ “Гончаров” (аграрне виробництво).</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Серед підприємств територіальної громади, що надають послуги населенню, можна виділити такі, як МКП «Покровводоканал», ПМКП «Добробут», ТОВ "Універсал-Сервіс 94», ТДВ "Дніпрокомунтранс", ТОВ "Дніпровські енергетичні послуги" (житлово-комунальна сфера), АТ "Ощадбанк", АТ КБ "ПриватБанк", КБ "Кредит Дніпро" (фінансова сфера), ТОВ "АТП "Орджонікідзе Транс Сервіс", ПП "Зігфрід-М", ТОВ "ВКП "Мотодор" (транспортні послуги та інші суб’єкти господарської діяльності різних форм власності, що надають побутові послуги</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Основними провідними підприємствами роздрібної торгівлі на території Покровської міської територіальної громади залишаються ТОВ “АТБ-маркет”, ТОВ “РУШ”, ТОВ “ОМЕГА”, Дочірнє підприємство Дніпропетровської облспоживспілки - госпрозрахунковий ринок “Центральний” м. Покров, ТОВ “ВИГІДНА ПОКУПКА”.</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У сфері підготовки водіїв транспортних засобів мешканцям громади надають послуги 4 автошколи. Послуги з тимчасового розміщення у місцях проживання (ночівлі) надають 3 суб’єкти господарювання. Функціонують дитячий комплекс “Місурі”, дитячий розважальний комплекс “Веселі джунглі”. Стоматологічні послуги надають приватні кабінети.</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 метою створення нових робочих місць та забезпечення мешканців громади промисловими товарами та продуктами харчування протягом 2024 відкрились:</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Торговий центр “Покров” (в т. ч. супермаркет “Варус”, магазини “Золотий Вік”, “Prostor”, “Аврора” та “Аптека оптових цін”);</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продуктові магазини “Центральний”, “Добробут”, “Наша Ряба”, “Галя Балувана”, “Ковбасна мережа”, “Одеський маркет”;</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- 2 піцерії “IQ Pizza”, 2 фаст-фуд заклади;</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непродовольчі магазини “Єва”, “DNIPROM”, “MEDIA CITY”, “Bella Perfume”, “Оптика” та інші.</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Воєнні дії на території України призвели до зниження економічної активності підприємств. Упродовж 2022-2025 років економіка працювала на значно нижчому рівні порівняно з довоєнним періодом. Частина підприємств зупинила діяльність через безпосередню військову загрозу, або через заблокований доступ до ринків збуту чи сировини і блекаути, деякі з них працювали не на всю потужність, неповний робочий тиждень, тому обсяги виробництва та реалізації знизилися у порівнянні з довоєнним періодом.</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Але попри всі складнощі протягом 2025 року підприємства громади зосередилися на збереженні існуючих обсягів виробництва, пошуку ринків збуту, поповненні обігових коштів та можливостях грантової підтримки.</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Відповідно до Закону України "Про захист інтересів суб’єктів подання звітності та інших документів у період дії воєнного стану або стану війни" під час воєнного стану або стану війни органи державної статистики призупинили оприлюднення статистичної інформації. Тому будь-яка статистична інформація по підприємствах громади станом на зараз відсутня. </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Не зважаючи на всі труднощі, викликані повномасштабною війною, протягом воєнного стану поступово підвищилась ділова активність суб’єктів малого та середнього бізнесу.  </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Крім того, громада поповнюється новими суб’єктами малого бізнесу, що релокуються з інших населених пунктів Нікопольського району, на яких ведуться бойові дії або є територіями можливих бойових дій. Підприємці, що релокуються до громади, спеціалізуються переважно на таких видах економічної діяльності, як оптова та роздрібна торгівля, ремонт автотранспортних засобів, переробна промисловість, логістика тощо.</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Найбільшими проблемами для бізнесу залишаються зростання цін на сировину/матеріали/послуги, брак обігових коштів, палива, робочої сили, складнощі з перевезенням сировини чи готових товарів територією України, небезпека для роботи, зменшення попиту на продукцію або послуги підприємств.</w:t>
      </w:r>
    </w:p>
    <w:p>
      <w:pPr>
        <w:pStyle w:val="Normal"/>
        <w:spacing w:before="0" w:after="0"/>
        <w:ind w:firstLine="567"/>
        <w:jc w:val="both"/>
        <w:rPr>
          <w:rFonts w:ascii="Times New Roman" w:hAnsi="Times New Roman"/>
          <w:sz w:val="26"/>
          <w:szCs w:val="26"/>
        </w:rPr>
      </w:pPr>
      <w:r>
        <w:rPr>
          <w:rFonts w:ascii="Times New Roman" w:hAnsi="Times New Roman"/>
          <w:sz w:val="28"/>
          <w:szCs w:val="28"/>
        </w:rPr>
      </w:r>
    </w:p>
    <w:p>
      <w:pPr>
        <w:pStyle w:val="Heading2"/>
        <w:spacing w:before="0" w:after="80"/>
        <w:jc w:val="center"/>
        <w:rPr>
          <w:rFonts w:ascii="Times New Roman" w:hAnsi="Times New Roman"/>
          <w:b/>
          <w:color w:val="000000"/>
          <w:sz w:val="28"/>
          <w:szCs w:val="28"/>
        </w:rPr>
      </w:pPr>
      <w:bookmarkStart w:id="20" w:name="_Toc181742463_копія_1"/>
      <w:bookmarkStart w:id="21" w:name="_Toc195651477_копія_1"/>
      <w:bookmarkStart w:id="22" w:name="_Toc184139682_копія_1"/>
      <w:r>
        <w:rPr>
          <w:rFonts w:ascii="Times New Roman" w:hAnsi="Times New Roman"/>
          <w:b/>
          <w:color w:val="000000"/>
          <w:sz w:val="28"/>
          <w:szCs w:val="28"/>
        </w:rPr>
        <w:t>2.2. АНАЛІЗ ВПЛИВІВ ТА ОБМЕЖЕНЬ</w:t>
      </w:r>
      <w:bookmarkEnd w:id="20"/>
      <w:bookmarkEnd w:id="21"/>
      <w:bookmarkEnd w:id="22"/>
    </w:p>
    <w:p>
      <w:pPr>
        <w:pStyle w:val="Heading3"/>
        <w:jc w:val="center"/>
        <w:rPr>
          <w:rFonts w:ascii="Times New Roman" w:hAnsi="Times New Roman"/>
          <w:sz w:val="28"/>
          <w:szCs w:val="28"/>
        </w:rPr>
      </w:pPr>
      <w:bookmarkStart w:id="23" w:name="_Toc195651478_копія_1"/>
      <w:bookmarkStart w:id="24" w:name="_Toc184139683_копія_1"/>
      <w:bookmarkStart w:id="25" w:name="_Toc181742464_копія_1"/>
      <w:r>
        <w:rPr>
          <w:rFonts w:ascii="Times New Roman" w:hAnsi="Times New Roman"/>
          <w:b/>
          <w:color w:val="000000"/>
          <w:sz w:val="28"/>
          <w:szCs w:val="28"/>
        </w:rPr>
        <w:t xml:space="preserve">2.2.1. Аналіз обмежень для сталого енергетичного розвитку території </w:t>
      </w:r>
      <w:bookmarkEnd w:id="23"/>
      <w:bookmarkEnd w:id="24"/>
      <w:bookmarkEnd w:id="25"/>
      <w:r>
        <w:rPr>
          <w:rFonts w:ascii="Times New Roman" w:hAnsi="Times New Roman"/>
          <w:b/>
          <w:color w:val="000000"/>
          <w:sz w:val="28"/>
          <w:szCs w:val="28"/>
        </w:rPr>
        <w:t>територіальної громади</w:t>
      </w:r>
    </w:p>
    <w:p>
      <w:pPr>
        <w:pStyle w:val="Normal"/>
        <w:spacing w:lineRule="auto" w:line="240"/>
        <w:jc w:val="center"/>
        <w:rPr>
          <w:b/>
          <w:color w:val="000000"/>
        </w:rPr>
      </w:pPr>
      <w:r>
        <w:rPr>
          <w:rFonts w:ascii="Times New Roman" w:hAnsi="Times New Roman"/>
          <w:sz w:val="22"/>
          <w:szCs w:val="22"/>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Розроблення будь-якого плану базується на аналізі ситуації сьогодення та минулих періодів і визначенні набору наявних обмежень: законодавчих, політичних, фінансових, технічних, екологічних, що впливають на формування системи пріоритетів для вибору найбільш оптимальних методів, заходів, дій для досягнення поставлених цілей за даних умов.</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У відповідності з Методикою розроблення місцевих енергетичних планів під час аналізу обмежень для сталого енергетичного розвитку території територіальної громади визначаються: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нормативні та правові обмеження на державному та місцевому рівнях;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Tahoma" w:ascii="Times New Roman" w:hAnsi="Times New Roman"/>
          <w:color w:val="000000"/>
          <w:kern w:val="2"/>
          <w:sz w:val="28"/>
          <w:szCs w:val="28"/>
          <w:lang w:val="uk-UA" w:eastAsia="en-US" w:bidi="ar-SA"/>
        </w:rPr>
        <w:t>фінансові обмеження та спроможності бюджету території територіальної громади;</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 людські обмеження та спроможності території територіальної громади;</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 матеріально-технічні та ринкові обмеження.</w:t>
      </w:r>
    </w:p>
    <w:p>
      <w:pPr>
        <w:pStyle w:val="Normal"/>
        <w:ind w:firstLine="567"/>
        <w:jc w:val="both"/>
        <w:rPr>
          <w:rFonts w:ascii="Times New Roman" w:hAnsi="Times New Roman"/>
          <w:sz w:val="26"/>
          <w:szCs w:val="26"/>
        </w:rPr>
      </w:pPr>
      <w:r>
        <w:rPr>
          <w:rFonts w:ascii="Times New Roman" w:hAnsi="Times New Roman"/>
          <w:sz w:val="28"/>
          <w:szCs w:val="28"/>
        </w:rPr>
      </w:r>
    </w:p>
    <w:p>
      <w:pPr>
        <w:pStyle w:val="Normal"/>
        <w:ind w:firstLine="567"/>
        <w:jc w:val="both"/>
        <w:rPr>
          <w:rFonts w:ascii="Times New Roman" w:hAnsi="Times New Roman"/>
          <w:sz w:val="26"/>
          <w:szCs w:val="26"/>
        </w:rPr>
      </w:pPr>
      <w:r>
        <w:rPr>
          <w:rFonts w:eastAsia="Century Gothic" w:cs="Tahoma" w:ascii="Times New Roman" w:hAnsi="Times New Roman"/>
          <w:b/>
          <w:bCs/>
          <w:color w:val="000000"/>
          <w:kern w:val="2"/>
          <w:sz w:val="28"/>
          <w:szCs w:val="28"/>
          <w:shd w:fill="auto" w:val="clear"/>
          <w:lang w:val="uk-UA" w:eastAsia="en-US" w:bidi="ar-SA"/>
        </w:rPr>
        <w:t>О</w:t>
      </w:r>
      <w:r>
        <w:rPr>
          <w:rFonts w:eastAsia="Century Gothic" w:cs="Tahoma" w:ascii="Times New Roman" w:hAnsi="Times New Roman"/>
          <w:b/>
          <w:bCs/>
          <w:color w:val="000000"/>
          <w:kern w:val="2"/>
          <w:sz w:val="28"/>
          <w:szCs w:val="28"/>
          <w:shd w:fill="auto" w:val="clear"/>
          <w:lang w:val="uk-UA" w:eastAsia="en-US" w:bidi="ar-SA"/>
        </w:rPr>
        <w:t>сновн</w:t>
      </w:r>
      <w:r>
        <w:rPr>
          <w:rFonts w:eastAsia="Century Gothic" w:cs="Tahoma" w:ascii="Times New Roman" w:hAnsi="Times New Roman"/>
          <w:b/>
          <w:bCs/>
          <w:color w:val="000000"/>
          <w:kern w:val="2"/>
          <w:sz w:val="28"/>
          <w:szCs w:val="28"/>
          <w:shd w:fill="auto" w:val="clear"/>
          <w:lang w:val="uk-UA" w:eastAsia="en-US" w:bidi="ar-SA"/>
        </w:rPr>
        <w:t>і</w:t>
      </w:r>
      <w:r>
        <w:rPr>
          <w:rFonts w:eastAsia="Century Gothic" w:cs="Tahoma" w:ascii="Times New Roman" w:hAnsi="Times New Roman"/>
          <w:b/>
          <w:bCs/>
          <w:color w:val="000000"/>
          <w:kern w:val="2"/>
          <w:sz w:val="28"/>
          <w:szCs w:val="28"/>
          <w:shd w:fill="auto" w:val="clear"/>
          <w:lang w:val="uk-UA" w:eastAsia="en-US" w:bidi="ar-SA"/>
        </w:rPr>
        <w:t xml:space="preserve"> обмежен</w:t>
      </w:r>
      <w:r>
        <w:rPr>
          <w:rFonts w:eastAsia="Century Gothic" w:cs="Tahoma" w:ascii="Times New Roman" w:hAnsi="Times New Roman"/>
          <w:b/>
          <w:bCs/>
          <w:color w:val="000000"/>
          <w:kern w:val="2"/>
          <w:sz w:val="28"/>
          <w:szCs w:val="28"/>
          <w:shd w:fill="auto" w:val="clear"/>
          <w:lang w:val="uk-UA" w:eastAsia="en-US" w:bidi="ar-SA"/>
        </w:rPr>
        <w:t>ня</w:t>
      </w:r>
      <w:r>
        <w:rPr>
          <w:rFonts w:eastAsia="Century Gothic" w:cs="Tahoma" w:ascii="Times New Roman" w:hAnsi="Times New Roman"/>
          <w:b/>
          <w:bCs/>
          <w:color w:val="000000"/>
          <w:kern w:val="2"/>
          <w:sz w:val="28"/>
          <w:szCs w:val="28"/>
          <w:shd w:fill="auto" w:val="clear"/>
          <w:lang w:val="uk-UA" w:eastAsia="en-US" w:bidi="ar-SA"/>
        </w:rPr>
        <w:t>, які можуть виникати саме при енергетичному плануванні:</w:t>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1. Нормативно-правові обмеження.</w:t>
      </w:r>
    </w:p>
    <w:p>
      <w:pPr>
        <w:pStyle w:val="Normal"/>
        <w:ind w:firstLine="567"/>
        <w:jc w:val="both"/>
        <w:rPr>
          <w:rFonts w:ascii="Times New Roman" w:hAnsi="Times New Roman"/>
          <w:sz w:val="26"/>
          <w:szCs w:val="26"/>
        </w:rPr>
      </w:pPr>
      <w:r>
        <w:rPr>
          <w:rFonts w:ascii="Times New Roman" w:hAnsi="Times New Roman"/>
          <w:sz w:val="28"/>
          <w:szCs w:val="28"/>
          <w:shd w:fill="auto" w:val="clear"/>
        </w:rPr>
        <w:t xml:space="preserve">Нормативно-правові обмеження, особливо на державному рівні,  полягають у постійній зміні законодавства України. </w:t>
      </w:r>
      <w:r>
        <w:rPr>
          <w:rFonts w:eastAsia="Century Gothic" w:cs="Tahoma" w:ascii="Times New Roman" w:hAnsi="Times New Roman"/>
          <w:color w:val="000000"/>
          <w:kern w:val="2"/>
          <w:sz w:val="28"/>
          <w:szCs w:val="28"/>
          <w:shd w:fill="auto" w:val="clear"/>
          <w:lang w:val="uk-UA" w:eastAsia="en-US" w:bidi="ar-SA"/>
        </w:rPr>
        <w:t xml:space="preserve">Розвиток законодавства йде швидкими темпами, але не завжди збігається з тенденціями розвитку ринку, що призводить до виникнення протиріч і, зрештою, створює обмеження, відсутні при досконалій системі законодавства європейських країн. Недосконалість правового та законодавчого середовища для підтримки сталого енергетичного розвитку ускладнює впровадження новаторських рішень.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Також певні обмеження накладає складність прогнозування тарифів або цін на паливо та комунальні послуги у майбутні періоди, зокрема при субсидуванні тарифів на ПЕР з боку держави, що створює для банків і інвесторів невизначеність на період дії про</w:t>
      </w:r>
      <w:r>
        <w:rPr>
          <w:rFonts w:eastAsia="Century Gothic" w:cs="Tahoma" w:ascii="Times New Roman" w:hAnsi="Times New Roman"/>
          <w:color w:val="000000"/>
          <w:kern w:val="2"/>
          <w:sz w:val="28"/>
          <w:szCs w:val="28"/>
          <w:shd w:fill="auto" w:val="clear"/>
          <w:lang w:val="uk-UA" w:eastAsia="en-US" w:bidi="ar-SA"/>
        </w:rPr>
        <w:t>є</w:t>
      </w:r>
      <w:r>
        <w:rPr>
          <w:rFonts w:eastAsia="Century Gothic" w:cs="Tahoma" w:ascii="Times New Roman" w:hAnsi="Times New Roman"/>
          <w:color w:val="000000"/>
          <w:kern w:val="2"/>
          <w:sz w:val="28"/>
          <w:szCs w:val="28"/>
          <w:shd w:fill="auto" w:val="clear"/>
          <w:lang w:val="uk-UA" w:eastAsia="en-US" w:bidi="ar-SA"/>
        </w:rPr>
        <w:t xml:space="preserve">ктів.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У разі залучення інвестицій громадою або комунальним підприємством зростає активність з боку державних контролюючих органів, що в значній мірі обмежує громаду, та відволікає людські та часові ресурси на задоволення вимог цих органів.</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 xml:space="preserve">2.  Фінансові </w:t>
      </w:r>
      <w:r>
        <w:rPr>
          <w:rFonts w:ascii="Times New Roman" w:hAnsi="Times New Roman"/>
          <w:b/>
          <w:bCs/>
          <w:sz w:val="28"/>
          <w:szCs w:val="28"/>
          <w:shd w:fill="auto" w:val="clear"/>
        </w:rPr>
        <w:t>обмеження.</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 xml:space="preserve">Фінансові обмеження та спроможності бюджету територіальної громади </w:t>
      </w:r>
      <w:r>
        <w:rPr>
          <w:rFonts w:eastAsia="Century Gothic" w:cs="Tahoma" w:ascii="Times New Roman" w:hAnsi="Times New Roman"/>
          <w:color w:val="000000"/>
          <w:kern w:val="2"/>
          <w:sz w:val="28"/>
          <w:szCs w:val="28"/>
          <w:shd w:fill="auto" w:val="clear"/>
          <w:lang w:val="uk-UA" w:eastAsia="en-US" w:bidi="ar-SA"/>
        </w:rPr>
        <w:t>в</w:t>
      </w:r>
      <w:r>
        <w:rPr>
          <w:rFonts w:eastAsia="Century Gothic" w:cs="Tahoma" w:ascii="Times New Roman" w:hAnsi="Times New Roman"/>
          <w:color w:val="000000"/>
          <w:kern w:val="2"/>
          <w:sz w:val="28"/>
          <w:szCs w:val="28"/>
          <w:shd w:fill="auto" w:val="clear"/>
          <w:lang w:val="uk-UA" w:eastAsia="en-US" w:bidi="ar-SA"/>
        </w:rPr>
        <w:t>ключають недостатню наповненість місцевого бюджету, що не дозволяє забезпечити належне фінансування про</w:t>
      </w:r>
      <w:r>
        <w:rPr>
          <w:rFonts w:eastAsia="Century Gothic" w:cs="Tahoma" w:ascii="Times New Roman" w:hAnsi="Times New Roman"/>
          <w:color w:val="000000"/>
          <w:kern w:val="2"/>
          <w:sz w:val="28"/>
          <w:szCs w:val="28"/>
          <w:shd w:fill="auto" w:val="clear"/>
          <w:lang w:val="uk-UA" w:eastAsia="en-US" w:bidi="ar-SA"/>
        </w:rPr>
        <w:t>є</w:t>
      </w:r>
      <w:r>
        <w:rPr>
          <w:rFonts w:eastAsia="Century Gothic" w:cs="Tahoma" w:ascii="Times New Roman" w:hAnsi="Times New Roman"/>
          <w:color w:val="000000"/>
          <w:kern w:val="2"/>
          <w:sz w:val="28"/>
          <w:szCs w:val="28"/>
          <w:shd w:fill="auto" w:val="clear"/>
          <w:lang w:val="uk-UA" w:eastAsia="en-US" w:bidi="ar-SA"/>
        </w:rPr>
        <w:t xml:space="preserve">ктів у сфері енергоефективності та відновлюваної енергетики.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 xml:space="preserve">Є велика потреба у залученні зовнішніх інвестицій, кредитів або грантів, які необхідні для реалізації масштабних проектів, оскільки покращення інфраструктури вимагає значних інвестицій, що може бути проблематичним за відсутності доступу до відповідних фінансових інструментів. Водночас бюджетний Кодекс України не передбачає можливості залишення коштів, зекономлених внаслідок реалізації енергоефективних проектів на рахунках розпорядників коштів або у місцевому бюджеті.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 xml:space="preserve">Внаслідок чого, ані муніципалітет, ані бюджетні установи не мають можливості залучати інвестиції та розраховуватись за рахунок фактичної економії. Комунальні підприємства мають змогу повертати кредитні кошти за рахунок інвестиційної складової, яка закладається в тариф, але процедура узгодження інвестиційної складової досить складна, і затверджується інвестиційна складова лише на рік, що унеможливлює реалізацію довгострокових інвестиційних проектів без додаткових гарантій з боку місцевого або державного бюджетів. Муніципалітет, згідно Бюджетного Кодексу України, також має обмеження щодо залучення позик.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shd w:fill="auto" w:val="clear"/>
          <w:lang w:val="uk-UA" w:eastAsia="en-US" w:bidi="ar-SA"/>
        </w:rPr>
        <w:t>Сьогодні громада може залучати позики в розмірі не більше 200 % середньорічного індикативного прогнозного обсягу надходжень бюджету розвитку на наступні за планом два бюджетні періоди.</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 xml:space="preserve">3. </w:t>
      </w:r>
      <w:r>
        <w:rPr>
          <w:rFonts w:ascii="Times New Roman" w:hAnsi="Times New Roman"/>
          <w:b/>
          <w:bCs/>
          <w:sz w:val="28"/>
          <w:szCs w:val="28"/>
          <w:shd w:fill="auto" w:val="clear"/>
        </w:rPr>
        <w:t>Людські обмеження.</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Значна частина мешканців громади не усвідомлює важливість заходів енергоефективності, що знижує рівень громадської підтримки таких ініціатив. Недостатня обізнаність населення про переваги альтернативної енергетики та впровадження енергоефективних заходів стримує їх впровадження. Молоді спеціалісти виїжджають до більших міст або за кордон, що знижує кадровий потенціал громади.</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Відсутність цифрових інструментів для моніторингу енергоспоживання в комунальній сфері ускладнює прийняття обґрунтованих управлінських рішень. Обмежені можливості громади та громадян є перешкодою для широкого впровадження альтернативних джерел енергії та інших енергоефективних заходів. Це пов'язано з недостатнім фінансуванням, відсутністю необхідної інфраструктури, браком знань та досвіду у сфері відновлюваної енергетики, а також складними процедурами отримання дозволів та ліцензій.</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ascii="Times New Roman" w:hAnsi="Times New Roman"/>
          <w:b/>
          <w:bCs/>
          <w:sz w:val="28"/>
          <w:szCs w:val="28"/>
          <w:shd w:fill="auto" w:val="clear"/>
        </w:rPr>
        <w:t xml:space="preserve">4. </w:t>
      </w:r>
      <w:r>
        <w:rPr>
          <w:rFonts w:ascii="Times New Roman" w:hAnsi="Times New Roman"/>
          <w:b/>
          <w:bCs/>
          <w:sz w:val="28"/>
          <w:szCs w:val="28"/>
          <w:shd w:fill="auto" w:val="clear"/>
        </w:rPr>
        <w:t>Матеріально-технічні та ринкові обмеження</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Висока залежність від традиційних джерел енергії, високі витрати на енергію, а також відсутність економічного стимулювання обмежують розвиток в цьому напрямку. Строки окупності інвестиційних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ктів напряму впливають на рішення потенційних інвесторів вкладати кошти в їх реалізацію. В той же час окупність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 xml:space="preserve">ктів залежить від багатьох зовнішніх факторів, які неможливо точно спрогнозувати і які змінюються з часом. До таких факторів належать: тарифи на енергоносії (економічна обґрунтованість тарифів), умови та ставки кредитування банківськими установами, курс гривні, законодавчі зміни у сфері оподаткування. </w:t>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Матеріально-технічні та ринкові обмеження виникають через недостатнє технічне забезпечення, що включає використання обладнання та матеріалів з низькими експлуатаційними показниками, які з часом можуть знизити економічний ефект. Деякі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кти залежать від сезонності, що може затримувати їх реалізацію. Крім того, недосвідченість проектувальників, будівельників та монтажників може негативно вплинути на якість та терміни виконання проектів. Усі ці фактори потребують уваги та комплексного вирішення для забезпечення успішного сталого енергетичного розвитку територіальної громади.</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Tahoma" w:ascii="Times New Roman" w:hAnsi="Times New Roman"/>
          <w:color w:val="000000"/>
          <w:kern w:val="2"/>
          <w:sz w:val="28"/>
          <w:szCs w:val="28"/>
          <w:lang w:val="uk-UA" w:eastAsia="en-US" w:bidi="ar-SA"/>
        </w:rPr>
        <w:t>Загалом аналіз обмежень показує, що певні обмеження створюють перепони щодо реалізації про</w:t>
      </w:r>
      <w:r>
        <w:rPr>
          <w:rFonts w:eastAsia="Century Gothic" w:cs="Tahoma" w:ascii="Times New Roman" w:hAnsi="Times New Roman"/>
          <w:color w:val="000000"/>
          <w:kern w:val="2"/>
          <w:sz w:val="28"/>
          <w:szCs w:val="28"/>
          <w:lang w:val="uk-UA" w:eastAsia="en-US" w:bidi="ar-SA"/>
        </w:rPr>
        <w:t>є</w:t>
      </w:r>
      <w:r>
        <w:rPr>
          <w:rFonts w:eastAsia="Century Gothic" w:cs="Tahoma" w:ascii="Times New Roman" w:hAnsi="Times New Roman"/>
          <w:color w:val="000000"/>
          <w:kern w:val="2"/>
          <w:sz w:val="28"/>
          <w:szCs w:val="28"/>
          <w:lang w:val="uk-UA" w:eastAsia="en-US" w:bidi="ar-SA"/>
        </w:rPr>
        <w:t xml:space="preserve">ктів, але мають тимчасовий характер. Завершення війни, розвиток ринку дозволяє нівелювати вплив даних обмежень (людських та матеріально-технічних). Розвиток законодавства створює не тільки перепони через прийняття нових законодавчих норм, а й враховує практику реалізації прийнятих норм. Курс України на членство в Європейському Союзі дозволить удосконалити законодавство, та застосовувати дієві норми запозичені з європейського права. </w:t>
      </w:r>
    </w:p>
    <w:p>
      <w:pPr>
        <w:pStyle w:val="Normal"/>
        <w:ind w:firstLine="567"/>
        <w:jc w:val="both"/>
        <w:rPr>
          <w:rFonts w:ascii="Times New Roman" w:hAnsi="Times New Roman"/>
          <w:sz w:val="26"/>
          <w:szCs w:val="26"/>
        </w:rPr>
      </w:pPr>
      <w:r>
        <w:rPr>
          <w:rFonts w:ascii="Times New Roman" w:hAnsi="Times New Roman"/>
          <w:sz w:val="28"/>
          <w:szCs w:val="28"/>
          <w:shd w:fill="auto" w:val="clear"/>
        </w:rPr>
        <w:t>Складніша ситуація з фінансовими обмеженнями. Без суттєвого розширення можливостей місцевого бюджету реалізувати більшість про</w:t>
      </w:r>
      <w:r>
        <w:rPr>
          <w:rFonts w:ascii="Times New Roman" w:hAnsi="Times New Roman"/>
          <w:sz w:val="28"/>
          <w:szCs w:val="28"/>
          <w:shd w:fill="auto" w:val="clear"/>
        </w:rPr>
        <w:t>є</w:t>
      </w:r>
      <w:r>
        <w:rPr>
          <w:rFonts w:ascii="Times New Roman" w:hAnsi="Times New Roman"/>
          <w:sz w:val="28"/>
          <w:szCs w:val="28"/>
          <w:shd w:fill="auto" w:val="clear"/>
        </w:rPr>
        <w:t>ктів місцевим радами буде складно.</w:t>
      </w:r>
    </w:p>
    <w:p>
      <w:pPr>
        <w:pStyle w:val="Normal"/>
        <w:ind w:firstLine="567"/>
        <w:jc w:val="both"/>
        <w:rPr>
          <w:rFonts w:ascii="Times New Roman" w:hAnsi="Times New Roman"/>
          <w:sz w:val="26"/>
          <w:szCs w:val="26"/>
        </w:rPr>
      </w:pPr>
      <w:r>
        <w:rPr/>
      </w:r>
    </w:p>
    <w:p>
      <w:pPr>
        <w:pStyle w:val="Heading3"/>
        <w:jc w:val="center"/>
        <w:rPr>
          <w:rFonts w:ascii="Times New Roman" w:hAnsi="Times New Roman"/>
        </w:rPr>
      </w:pPr>
      <w:bookmarkStart w:id="26" w:name="_Toc195651479_копія_1"/>
      <w:bookmarkStart w:id="27" w:name="_Toc184139684_копія_1"/>
      <w:bookmarkStart w:id="28" w:name="_Toc181742465_копія_1"/>
      <w:r>
        <w:rPr>
          <w:rFonts w:ascii="Times New Roman" w:hAnsi="Times New Roman"/>
          <w:b/>
          <w:color w:val="000000"/>
        </w:rPr>
        <w:t xml:space="preserve">2.2.2. Результат SWOT- аналізу енергетичного розвитку території </w:t>
      </w:r>
      <w:r>
        <w:rPr>
          <w:rFonts w:ascii="Times New Roman" w:hAnsi="Times New Roman"/>
          <w:b/>
          <w:color w:val="000000"/>
        </w:rPr>
        <w:t>Покровської міської</w:t>
      </w:r>
      <w:r>
        <w:rPr>
          <w:rFonts w:ascii="Times New Roman" w:hAnsi="Times New Roman"/>
          <w:b/>
          <w:color w:val="000000"/>
        </w:rPr>
        <w:t xml:space="preserve"> </w:t>
      </w:r>
      <w:bookmarkEnd w:id="26"/>
      <w:bookmarkEnd w:id="27"/>
      <w:bookmarkEnd w:id="28"/>
      <w:r>
        <w:rPr>
          <w:rFonts w:ascii="Times New Roman" w:hAnsi="Times New Roman"/>
          <w:b/>
          <w:color w:val="000000"/>
        </w:rPr>
        <w:t>територіальної громади</w:t>
      </w:r>
    </w:p>
    <w:p>
      <w:pPr>
        <w:pStyle w:val="Normal"/>
        <w:jc w:val="center"/>
        <w:rPr>
          <w:rFonts w:ascii="Times New Roman" w:hAnsi="Times New Roman"/>
          <w:b/>
          <w:color w:val="000000"/>
        </w:rPr>
      </w:pPr>
      <w:r>
        <w:rPr>
          <w:rFonts w:ascii="Times New Roman" w:hAnsi="Times New Roman"/>
          <w:b/>
          <w:color w:val="000000"/>
        </w:rPr>
      </w:r>
    </w:p>
    <w:p>
      <w:pPr>
        <w:pStyle w:val="Normal"/>
        <w:ind w:firstLine="567"/>
        <w:jc w:val="both"/>
        <w:rPr>
          <w:rFonts w:ascii="Times New Roman" w:hAnsi="Times New Roman"/>
          <w:sz w:val="26"/>
          <w:szCs w:val="26"/>
        </w:rPr>
      </w:pPr>
      <w:r>
        <w:rPr>
          <w:rFonts w:ascii="Times New Roman" w:hAnsi="Times New Roman"/>
          <w:sz w:val="28"/>
          <w:szCs w:val="28"/>
        </w:rPr>
        <w:t>SWOT-аналіз сильних, слабких сторін, можливостей і загроз сталого енергетичного розвитку виконується на основі визначення внутрішніх і зовнішніх факторів впливу на сталий енергетичний розвиток території територіальної громади за формою згідно з додатком 3 до цієї Методики, де:</w:t>
      </w:r>
    </w:p>
    <w:p>
      <w:pPr>
        <w:pStyle w:val="Normal"/>
        <w:ind w:firstLine="567"/>
        <w:jc w:val="both"/>
        <w:rPr>
          <w:rFonts w:ascii="Times New Roman" w:hAnsi="Times New Roman"/>
          <w:sz w:val="26"/>
          <w:szCs w:val="26"/>
        </w:rPr>
      </w:pPr>
      <w:r>
        <w:rPr>
          <w:rFonts w:ascii="Times New Roman" w:hAnsi="Times New Roman"/>
          <w:sz w:val="28"/>
          <w:szCs w:val="28"/>
        </w:rPr>
        <w:t xml:space="preserve">-  </w:t>
      </w:r>
      <w:r>
        <w:rPr>
          <w:rFonts w:eastAsia="Century Gothic" w:cs="Tahoma" w:ascii="Times New Roman" w:hAnsi="Times New Roman"/>
          <w:b w:val="false"/>
          <w:bCs w:val="false"/>
          <w:color w:val="000000"/>
          <w:kern w:val="2"/>
          <w:sz w:val="28"/>
          <w:szCs w:val="28"/>
          <w:lang w:val="uk-UA" w:eastAsia="en-US" w:bidi="ar-SA"/>
        </w:rPr>
        <w:t>сильні сторони – наявні внутрішні позитивні фактори або ресурси в межах території територіальної громади, які можуть бути використані для її сталого енергетичного розвитку;</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lang w:val="uk-UA" w:eastAsia="en-US" w:bidi="ar-SA"/>
        </w:rPr>
        <w:t>- слабкі сторони – наявні внутрішні негативні фактори в межах території територіальної громади, усунення яких сприятиме її сталому енергетичному розвитку;</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lang w:val="uk-UA" w:eastAsia="en-US" w:bidi="ar-SA"/>
        </w:rPr>
        <w:t>- можливості – наявні або найбільш ймовірні позитивні фактори зовнішнього впливу, які можна використати для сталого енергетичного розвитку території територіальної громади;</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lang w:val="uk-UA" w:eastAsia="en-US" w:bidi="ar-SA"/>
        </w:rPr>
        <w:t>- загрози – наявні або найбільш ймовірні негативні фактори зовнішнього впливу, усунення яких сприятиме сталому енергетичному розвитку території територіальної громади.</w:t>
      </w:r>
    </w:p>
    <w:p>
      <w:pPr>
        <w:pStyle w:val="Normal"/>
        <w:ind w:firstLine="567"/>
        <w:jc w:val="both"/>
        <w:rPr>
          <w:rFonts w:ascii="Times New Roman" w:hAnsi="Times New Roman"/>
          <w:sz w:val="26"/>
          <w:szCs w:val="26"/>
        </w:rPr>
      </w:pPr>
      <w:r>
        <w:rPr>
          <w:rFonts w:ascii="Times New Roman" w:hAnsi="Times New Roman"/>
          <w:sz w:val="28"/>
          <w:szCs w:val="28"/>
        </w:rPr>
        <w:t xml:space="preserve">В таблиці </w:t>
      </w:r>
      <w:r>
        <w:rPr>
          <w:rFonts w:ascii="Times New Roman" w:hAnsi="Times New Roman"/>
          <w:sz w:val="28"/>
          <w:szCs w:val="28"/>
        </w:rPr>
        <w:t>наведені</w:t>
      </w:r>
      <w:r>
        <w:rPr>
          <w:rFonts w:ascii="Times New Roman" w:hAnsi="Times New Roman"/>
          <w:sz w:val="28"/>
          <w:szCs w:val="28"/>
        </w:rPr>
        <w:t xml:space="preserve"> основні результати SWOT-аналізу факторів впливу на енергетичний розвиток </w:t>
      </w:r>
      <w:r>
        <w:rPr>
          <w:rFonts w:ascii="Times New Roman" w:hAnsi="Times New Roman"/>
          <w:sz w:val="28"/>
          <w:szCs w:val="28"/>
        </w:rPr>
        <w:t>Покровської</w:t>
      </w:r>
      <w:r>
        <w:rPr>
          <w:rFonts w:ascii="Times New Roman" w:hAnsi="Times New Roman"/>
          <w:sz w:val="28"/>
          <w:szCs w:val="28"/>
        </w:rPr>
        <w:t xml:space="preserve"> міської територіальної громади. </w:t>
      </w:r>
    </w:p>
    <w:tbl>
      <w:tblPr>
        <w:tblW w:w="5000" w:type="pct"/>
        <w:jc w:val="start"/>
        <w:tblInd w:w="-5" w:type="dxa"/>
        <w:tblLayout w:type="fixed"/>
        <w:tblCellMar>
          <w:top w:w="55" w:type="dxa"/>
          <w:start w:w="55" w:type="dxa"/>
          <w:bottom w:w="55" w:type="dxa"/>
          <w:end w:w="55" w:type="dxa"/>
        </w:tblCellMar>
      </w:tblPr>
      <w:tblGrid>
        <w:gridCol w:w="1248"/>
        <w:gridCol w:w="4193"/>
        <w:gridCol w:w="3914"/>
      </w:tblGrid>
      <w:tr>
        <w:trPr/>
        <w:tc>
          <w:tcPr>
            <w:tcW w:w="1248"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Внутрішні фактори</w:t>
            </w:r>
          </w:p>
        </w:tc>
        <w:tc>
          <w:tcPr>
            <w:tcW w:w="419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Сильні сторони</w:t>
            </w:r>
          </w:p>
        </w:tc>
        <w:tc>
          <w:tcPr>
            <w:tcW w:w="391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Слабкі сторони</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jc w:val="start"/>
              <w:rPr>
                <w:rFonts w:ascii="Times New Roman" w:hAnsi="Times New Roman"/>
                <w:sz w:val="22"/>
                <w:szCs w:val="22"/>
              </w:rPr>
            </w:pPr>
            <w:r>
              <w:rPr>
                <w:rFonts w:ascii="Times New Roman" w:hAnsi="Times New Roman"/>
                <w:sz w:val="22"/>
                <w:szCs w:val="22"/>
              </w:rPr>
              <w:t>Наявність корисних копалин</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Недостатня інвестиційна привабливість</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before="0" w:after="0"/>
              <w:jc w:val="start"/>
              <w:rPr>
                <w:rFonts w:ascii="Times New Roman" w:hAnsi="Times New Roman"/>
                <w:sz w:val="22"/>
                <w:szCs w:val="22"/>
              </w:rPr>
            </w:pPr>
            <w:r>
              <w:rPr>
                <w:rFonts w:ascii="Times New Roman" w:hAnsi="Times New Roman"/>
                <w:sz w:val="22"/>
                <w:szCs w:val="22"/>
              </w:rPr>
              <w:t xml:space="preserve">Зручне адміністративне та географічне розташування в екологічно сприятливій зоні </w:t>
            </w:r>
            <w:r>
              <w:rPr>
                <w:rFonts w:ascii="Times New Roman" w:hAnsi="Times New Roman"/>
                <w:sz w:val="22"/>
                <w:szCs w:val="22"/>
              </w:rPr>
              <w:t>з доступом до основних шляхів</w:t>
            </w:r>
            <w:r>
              <w:rPr>
                <w:rFonts w:ascii="Times New Roman" w:hAnsi="Times New Roman"/>
                <w:sz w:val="22"/>
                <w:szCs w:val="22"/>
              </w:rPr>
              <w:t xml:space="preserve"> </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Нестача висококваліфікованого персоналу</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jc w:val="start"/>
              <w:rPr>
                <w:rFonts w:ascii="Times New Roman" w:hAnsi="Times New Roman"/>
                <w:sz w:val="22"/>
                <w:szCs w:val="22"/>
              </w:rPr>
            </w:pPr>
            <w:r>
              <w:rPr>
                <w:rFonts w:ascii="Times New Roman" w:hAnsi="Times New Roman"/>
                <w:sz w:val="22"/>
                <w:szCs w:val="22"/>
              </w:rPr>
              <w:t>Наявна залізнична інфраструктура</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Низький рівень впровадження інновацій та низька конкурентоздатність продукції</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spacing w:lineRule="auto" w:line="240"/>
              <w:jc w:val="start"/>
              <w:rPr>
                <w:rFonts w:ascii="Times New Roman" w:hAnsi="Times New Roman"/>
                <w:sz w:val="22"/>
                <w:szCs w:val="22"/>
              </w:rPr>
            </w:pPr>
            <w:r>
              <w:rPr>
                <w:rFonts w:ascii="Times New Roman" w:hAnsi="Times New Roman"/>
                <w:sz w:val="22"/>
                <w:szCs w:val="22"/>
              </w:rPr>
              <w:t>Наявність розвиненого аграрного сектору</w:t>
            </w:r>
          </w:p>
        </w:tc>
        <w:tc>
          <w:tcPr>
            <w:tcW w:w="3914" w:type="dxa"/>
            <w:tcBorders>
              <w:start w:val="single" w:sz="4" w:space="0" w:color="000000"/>
              <w:bottom w:val="single" w:sz="4" w:space="0" w:color="000000"/>
              <w:end w:val="single" w:sz="4" w:space="0" w:color="000000"/>
            </w:tcBorders>
          </w:tcPr>
          <w:p>
            <w:pPr>
              <w:pStyle w:val="NoSpacing"/>
              <w:spacing w:lineRule="auto" w:line="240"/>
              <w:jc w:val="start"/>
              <w:rPr>
                <w:rFonts w:ascii="Times New Roman" w:hAnsi="Times New Roman" w:cs="Times New Roman"/>
                <w:sz w:val="22"/>
                <w:szCs w:val="22"/>
              </w:rPr>
            </w:pPr>
            <w:r>
              <w:rPr>
                <w:rFonts w:cs="Times New Roman" w:ascii="Times New Roman" w:hAnsi="Times New Roman"/>
                <w:sz w:val="22"/>
                <w:szCs w:val="22"/>
              </w:rPr>
              <w:t>Переважно незадовільний стан нерухомого майна, що потребує додаткових інвестицій</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Розвинена та доступна мережа закладів шкільної, дошкільної освіти з якісним навчанням та комфортними умовами перебування.</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Відсутність екологічних ініціатив та екологічного контролю</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Стабільне функціонування комунальних служб</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Відтік трудових ресурсів за кордон</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Наявність культурних та спортивних об'єктів для дозвілля мешканців</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Незадовільний стан автомобільних доріг за межами міста</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Досвід залучення грантів та підтримки від партнерів</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sz w:val="22"/>
                <w:szCs w:val="22"/>
              </w:rPr>
            </w:pPr>
            <w:r>
              <w:rPr>
                <w:rFonts w:cs="Times New Roman" w:ascii="Times New Roman" w:hAnsi="Times New Roman"/>
                <w:sz w:val="22"/>
                <w:szCs w:val="22"/>
              </w:rPr>
              <w:t>В</w:t>
            </w:r>
            <w:r>
              <w:rPr>
                <w:rFonts w:cs="Times New Roman" w:ascii="Times New Roman" w:hAnsi="Times New Roman"/>
                <w:sz w:val="22"/>
                <w:szCs w:val="22"/>
              </w:rPr>
              <w:t>ідсутність екологічної інфраструктури для сортування та переробки сміття</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Наявність вільних земель та комунальних приміщень</w:t>
            </w:r>
          </w:p>
        </w:tc>
        <w:tc>
          <w:tcPr>
            <w:tcW w:w="3914" w:type="dxa"/>
            <w:tcBorders>
              <w:start w:val="single" w:sz="4" w:space="0" w:color="000000"/>
              <w:bottom w:val="single" w:sz="4" w:space="0" w:color="000000"/>
              <w:end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Низький рівень фінансової</w:t>
            </w:r>
          </w:p>
          <w:p>
            <w:pPr>
              <w:pStyle w:val="NoSpacing"/>
              <w:jc w:val="start"/>
              <w:rPr>
                <w:rFonts w:ascii="Times New Roman" w:hAnsi="Times New Roman" w:cs="Times New Roman"/>
                <w:sz w:val="22"/>
                <w:szCs w:val="22"/>
              </w:rPr>
            </w:pPr>
            <w:r>
              <w:rPr>
                <w:rFonts w:cs="Times New Roman" w:ascii="Times New Roman" w:hAnsi="Times New Roman"/>
                <w:sz w:val="22"/>
                <w:szCs w:val="22"/>
              </w:rPr>
              <w:t>грамотності серед населення</w:t>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Багатопрофільний малий та середній бізнес</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Добре розвинута соціальна інфраструктура</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top w:val="single" w:sz="4" w:space="0" w:color="000000"/>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Відкритість влади, реалізація антикорупційних програм</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restart"/>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Зовнішні фактори</w:t>
            </w:r>
          </w:p>
        </w:tc>
        <w:tc>
          <w:tcPr>
            <w:tcW w:w="4193"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Можливості</w:t>
            </w:r>
          </w:p>
        </w:tc>
        <w:tc>
          <w:tcPr>
            <w:tcW w:w="3914"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Загрози</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Style20"/>
              <w:jc w:val="start"/>
              <w:rPr>
                <w:rFonts w:ascii="Times New Roman" w:hAnsi="Times New Roman"/>
                <w:sz w:val="22"/>
                <w:szCs w:val="22"/>
              </w:rPr>
            </w:pPr>
            <w:r>
              <w:rPr>
                <w:rFonts w:ascii="Times New Roman" w:hAnsi="Times New Roman"/>
                <w:sz w:val="22"/>
                <w:szCs w:val="22"/>
              </w:rPr>
              <w:t>Залучення інвестицій для</w:t>
            </w:r>
          </w:p>
          <w:p>
            <w:pPr>
              <w:pStyle w:val="Style20"/>
              <w:jc w:val="start"/>
              <w:rPr>
                <w:rFonts w:ascii="Times New Roman" w:hAnsi="Times New Roman"/>
                <w:sz w:val="22"/>
                <w:szCs w:val="22"/>
              </w:rPr>
            </w:pPr>
            <w:r>
              <w:rPr>
                <w:rFonts w:ascii="Times New Roman" w:hAnsi="Times New Roman"/>
                <w:sz w:val="22"/>
                <w:szCs w:val="22"/>
              </w:rPr>
              <w:t>модернізації агропромислового</w:t>
            </w:r>
          </w:p>
          <w:p>
            <w:pPr>
              <w:pStyle w:val="Style20"/>
              <w:jc w:val="start"/>
              <w:rPr>
                <w:rFonts w:ascii="Times New Roman" w:hAnsi="Times New Roman"/>
                <w:sz w:val="22"/>
                <w:szCs w:val="22"/>
              </w:rPr>
            </w:pPr>
            <w:r>
              <w:rPr>
                <w:rFonts w:ascii="Times New Roman" w:hAnsi="Times New Roman"/>
                <w:sz w:val="22"/>
                <w:szCs w:val="22"/>
              </w:rPr>
              <w:t>комплексу, переробної промисловості та інших перспективних проєктів</w:t>
            </w:r>
          </w:p>
        </w:tc>
        <w:tc>
          <w:tcPr>
            <w:tcW w:w="3914" w:type="dxa"/>
            <w:tcBorders>
              <w:start w:val="single" w:sz="4" w:space="0" w:color="000000"/>
              <w:bottom w:val="single" w:sz="4" w:space="0" w:color="000000"/>
              <w:end w:val="single" w:sz="4" w:space="0" w:color="000000"/>
            </w:tcBorders>
          </w:tcPr>
          <w:p>
            <w:pPr>
              <w:pStyle w:val="Normal"/>
              <w:jc w:val="start"/>
              <w:rPr>
                <w:rFonts w:ascii="Times New Roman" w:hAnsi="Times New Roman" w:cs="Times New Roman"/>
                <w:sz w:val="22"/>
                <w:szCs w:val="22"/>
              </w:rPr>
            </w:pPr>
            <w:r>
              <w:rPr>
                <w:rFonts w:cs="Times New Roman" w:ascii="Times New Roman" w:hAnsi="Times New Roman"/>
                <w:sz w:val="22"/>
                <w:szCs w:val="22"/>
              </w:rPr>
              <w:t>Демографічна криза через масовий відтік населення</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Можливості грантової підтримки</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Воєнні дії та нестабільність в країні</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Розвиток партнерств із містами інших розвинутих країн</w:t>
            </w:r>
          </w:p>
        </w:tc>
        <w:tc>
          <w:tcPr>
            <w:tcW w:w="3914" w:type="dxa"/>
            <w:tcBorders>
              <w:start w:val="single" w:sz="4" w:space="0" w:color="000000"/>
              <w:bottom w:val="single" w:sz="4" w:space="0" w:color="000000"/>
              <w:end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Втрата молоді та кваліфікованих кадрів через міграцію</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Розвиток альтернативної енергетики</w:t>
            </w:r>
          </w:p>
        </w:tc>
        <w:tc>
          <w:tcPr>
            <w:tcW w:w="3914" w:type="dxa"/>
            <w:tcBorders>
              <w:start w:val="single" w:sz="4" w:space="0" w:color="000000"/>
              <w:bottom w:val="single" w:sz="4" w:space="0" w:color="000000"/>
              <w:end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Погіршення інфраструктури без</w:t>
            </w:r>
          </w:p>
          <w:p>
            <w:pPr>
              <w:pStyle w:val="NoSpacing"/>
              <w:jc w:val="start"/>
              <w:rPr>
                <w:rFonts w:ascii="Times New Roman" w:hAnsi="Times New Roman" w:cs="Times New Roman"/>
                <w:sz w:val="22"/>
                <w:szCs w:val="22"/>
              </w:rPr>
            </w:pPr>
            <w:r>
              <w:rPr>
                <w:rFonts w:cs="Times New Roman" w:ascii="Times New Roman" w:hAnsi="Times New Roman"/>
                <w:sz w:val="22"/>
                <w:szCs w:val="22"/>
              </w:rPr>
              <w:t>належного оновлення</w:t>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Тренд на підтримку екологічних проєктів</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rPr>
                <w:rFonts w:ascii="Times New Roman" w:hAnsi="Times New Roman" w:cs="Times New Roman"/>
                <w:sz w:val="22"/>
                <w:szCs w:val="22"/>
              </w:rPr>
            </w:pPr>
            <w:r>
              <w:rPr>
                <w:rFonts w:cs="Times New Roman" w:ascii="Times New Roman" w:hAnsi="Times New Roman"/>
                <w:sz w:val="22"/>
                <w:szCs w:val="22"/>
              </w:rPr>
              <w:t>Якісна неформальна освіта з</w:t>
            </w:r>
          </w:p>
          <w:p>
            <w:pPr>
              <w:pStyle w:val="NoSpacing"/>
              <w:rPr>
                <w:rFonts w:ascii="Times New Roman" w:hAnsi="Times New Roman" w:cs="Times New Roman"/>
                <w:sz w:val="22"/>
                <w:szCs w:val="22"/>
              </w:rPr>
            </w:pPr>
            <w:r>
              <w:rPr>
                <w:rFonts w:cs="Times New Roman" w:ascii="Times New Roman" w:hAnsi="Times New Roman"/>
                <w:sz w:val="22"/>
                <w:szCs w:val="22"/>
              </w:rPr>
              <w:t>підприємництва, технологій та</w:t>
            </w:r>
          </w:p>
          <w:p>
            <w:pPr>
              <w:pStyle w:val="NoSpacing"/>
              <w:rPr>
                <w:rFonts w:ascii="Times New Roman" w:hAnsi="Times New Roman" w:cs="Times New Roman"/>
                <w:sz w:val="22"/>
                <w:szCs w:val="22"/>
              </w:rPr>
            </w:pPr>
            <w:r>
              <w:rPr>
                <w:rFonts w:cs="Times New Roman" w:ascii="Times New Roman" w:hAnsi="Times New Roman"/>
                <w:sz w:val="22"/>
                <w:szCs w:val="22"/>
              </w:rPr>
              <w:t>інших важливих галузей</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Інтеграція сучасних технологій у сільське господарство</w:t>
            </w:r>
          </w:p>
        </w:tc>
        <w:tc>
          <w:tcPr>
            <w:tcW w:w="3914" w:type="dxa"/>
            <w:tcBorders>
              <w:start w:val="single" w:sz="4" w:space="0" w:color="000000"/>
              <w:bottom w:val="single" w:sz="4" w:space="0" w:color="000000"/>
              <w:end w:val="single" w:sz="4" w:space="0" w:color="000000"/>
            </w:tcBorders>
          </w:tcPr>
          <w:p>
            <w:pPr>
              <w:pStyle w:val="Style20"/>
              <w:jc w:val="start"/>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rmal"/>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Підвищення попиту на внутрішній</w:t>
            </w:r>
          </w:p>
          <w:p>
            <w:pPr>
              <w:pStyle w:val="NoSpacing"/>
              <w:jc w:val="start"/>
              <w:rPr>
                <w:rFonts w:ascii="Times New Roman" w:hAnsi="Times New Roman" w:cs="Times New Roman"/>
                <w:sz w:val="22"/>
                <w:szCs w:val="22"/>
              </w:rPr>
            </w:pPr>
            <w:r>
              <w:rPr>
                <w:rFonts w:cs="Times New Roman" w:ascii="Times New Roman" w:hAnsi="Times New Roman"/>
                <w:sz w:val="22"/>
                <w:szCs w:val="22"/>
              </w:rPr>
              <w:t>туризм</w:t>
            </w:r>
          </w:p>
        </w:tc>
        <w:tc>
          <w:tcPr>
            <w:tcW w:w="3914" w:type="dxa"/>
            <w:tcBorders>
              <w:start w:val="single" w:sz="4" w:space="0" w:color="000000"/>
              <w:bottom w:val="single" w:sz="4" w:space="0" w:color="000000"/>
              <w:end w:val="single" w:sz="4" w:space="0" w:color="000000"/>
            </w:tcBorders>
          </w:tcPr>
          <w:p>
            <w:pPr>
              <w:pStyle w:val="Style20"/>
              <w:jc w:val="both"/>
              <w:rPr>
                <w:rFonts w:ascii="Times New Roman" w:hAnsi="Times New Roman"/>
                <w:sz w:val="22"/>
                <w:szCs w:val="22"/>
              </w:rPr>
            </w:pPr>
            <w:r>
              <w:rPr>
                <w:rFonts w:ascii="Times New Roman" w:hAnsi="Times New Roman"/>
                <w:sz w:val="22"/>
                <w:szCs w:val="22"/>
              </w:rPr>
            </w:r>
          </w:p>
        </w:tc>
      </w:tr>
      <w:tr>
        <w:trPr/>
        <w:tc>
          <w:tcPr>
            <w:tcW w:w="1248" w:type="dxa"/>
            <w:vMerge w:val="continue"/>
            <w:tcBorders>
              <w:start w:val="single" w:sz="4" w:space="0" w:color="000000"/>
              <w:bottom w:val="single" w:sz="4" w:space="0" w:color="000000"/>
            </w:tcBorders>
          </w:tcPr>
          <w:p>
            <w:pPr>
              <w:pStyle w:val="Normal"/>
              <w:rPr/>
            </w:pPr>
            <w:r>
              <w:rPr/>
            </w:r>
          </w:p>
        </w:tc>
        <w:tc>
          <w:tcPr>
            <w:tcW w:w="4193" w:type="dxa"/>
            <w:tcBorders>
              <w:start w:val="single" w:sz="4" w:space="0" w:color="000000"/>
              <w:bottom w:val="single" w:sz="4" w:space="0" w:color="000000"/>
            </w:tcBorders>
          </w:tcPr>
          <w:p>
            <w:pPr>
              <w:pStyle w:val="NoSpacing"/>
              <w:jc w:val="start"/>
              <w:rPr>
                <w:rFonts w:ascii="Times New Roman" w:hAnsi="Times New Roman" w:cs="Times New Roman"/>
                <w:sz w:val="22"/>
                <w:szCs w:val="22"/>
              </w:rPr>
            </w:pPr>
            <w:r>
              <w:rPr>
                <w:rFonts w:cs="Times New Roman" w:ascii="Times New Roman" w:hAnsi="Times New Roman"/>
                <w:sz w:val="22"/>
                <w:szCs w:val="22"/>
              </w:rPr>
              <w:t>Збільшення рівня доступності міжнародних фінансових ресурсів.</w:t>
            </w:r>
          </w:p>
        </w:tc>
        <w:tc>
          <w:tcPr>
            <w:tcW w:w="3914" w:type="dxa"/>
            <w:tcBorders>
              <w:start w:val="single" w:sz="4" w:space="0" w:color="000000"/>
              <w:bottom w:val="single" w:sz="4" w:space="0" w:color="000000"/>
              <w:end w:val="single" w:sz="4" w:space="0" w:color="000000"/>
            </w:tcBorders>
          </w:tcPr>
          <w:p>
            <w:pPr>
              <w:pStyle w:val="Style20"/>
              <w:jc w:val="both"/>
              <w:rPr>
                <w:rFonts w:ascii="Times New Roman" w:hAnsi="Times New Roman"/>
                <w:sz w:val="22"/>
                <w:szCs w:val="22"/>
              </w:rPr>
            </w:pPr>
            <w:r>
              <w:rPr>
                <w:rFonts w:ascii="Times New Roman" w:hAnsi="Times New Roman"/>
                <w:sz w:val="22"/>
                <w:szCs w:val="22"/>
              </w:rPr>
            </w:r>
          </w:p>
        </w:tc>
      </w:tr>
    </w:tbl>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color w:val="000000"/>
          <w:kern w:val="2"/>
          <w:sz w:val="28"/>
          <w:szCs w:val="28"/>
          <w:shd w:fill="auto" w:val="clear"/>
          <w:lang w:val="uk-UA" w:eastAsia="en-US" w:bidi="ar-SA"/>
        </w:rPr>
        <w:t xml:space="preserve">Із даних, зазначених в SWOT-аналізі, можна зробити висновок, що Покровська </w:t>
      </w:r>
      <w:r>
        <w:rPr>
          <w:rFonts w:eastAsia="Century Gothic" w:cs="Tahoma" w:ascii="Times New Roman" w:hAnsi="Times New Roman"/>
          <w:b w:val="false"/>
          <w:bCs w:val="false"/>
          <w:color w:val="000000"/>
          <w:kern w:val="2"/>
          <w:sz w:val="28"/>
          <w:szCs w:val="28"/>
          <w:shd w:fill="auto" w:val="clear"/>
          <w:lang w:val="uk-UA" w:eastAsia="en-US" w:bidi="ar-SA"/>
        </w:rPr>
        <w:t>міська</w:t>
      </w:r>
      <w:r>
        <w:rPr>
          <w:rFonts w:eastAsia="Century Gothic" w:cs="Tahoma" w:ascii="Times New Roman" w:hAnsi="Times New Roman"/>
          <w:b w:val="false"/>
          <w:bCs w:val="false"/>
          <w:color w:val="000000"/>
          <w:kern w:val="2"/>
          <w:sz w:val="28"/>
          <w:szCs w:val="28"/>
          <w:shd w:fill="auto" w:val="clear"/>
          <w:lang w:val="uk-UA" w:eastAsia="en-US" w:bidi="ar-SA"/>
        </w:rPr>
        <w:t xml:space="preserve"> територіальна громада має достатній потенціал для сталого економічного та енергетичного розвитку своєї території, впровадження альтернативних джерел енергії, створення умов для циркулярної економіки, зменшення обсягів споживання енергоресурсів, реалізації природо-орієнтованих рішень, підвищення стійкості до змін клімату з певними обмеженнями, викликаними демографічною ситуацією та низьким рівнем фінансової самодостатності. </w:t>
      </w:r>
    </w:p>
    <w:p>
      <w:pPr>
        <w:pStyle w:val="Normal"/>
        <w:ind w:firstLine="567"/>
        <w:jc w:val="both"/>
        <w:rPr>
          <w:rFonts w:ascii="Times New Roman" w:hAnsi="Times New Roman"/>
          <w:sz w:val="26"/>
          <w:szCs w:val="26"/>
        </w:rPr>
      </w:pPr>
      <w:r>
        <w:rPr>
          <w:rFonts w:ascii="Times New Roman" w:hAnsi="Times New Roman"/>
          <w:sz w:val="28"/>
          <w:szCs w:val="28"/>
        </w:rPr>
      </w:r>
    </w:p>
    <w:p>
      <w:pPr>
        <w:pStyle w:val="Heading3"/>
        <w:jc w:val="center"/>
        <w:rPr>
          <w:rFonts w:ascii="Times New Roman" w:hAnsi="Times New Roman"/>
          <w:b/>
          <w:color w:val="000000"/>
        </w:rPr>
      </w:pPr>
      <w:bookmarkStart w:id="29" w:name="_Toc195651480_копія_1"/>
      <w:bookmarkStart w:id="30" w:name="_Toc181742466_копія_1"/>
      <w:bookmarkStart w:id="31" w:name="_Toc184139685_копія_1"/>
      <w:r>
        <w:rPr>
          <w:rFonts w:ascii="Times New Roman" w:hAnsi="Times New Roman"/>
          <w:b/>
          <w:color w:val="000000"/>
        </w:rPr>
        <w:t xml:space="preserve">2.2.3. Аналіз впливу </w:t>
      </w:r>
      <w:r>
        <w:rPr>
          <w:rFonts w:ascii="Times New Roman" w:hAnsi="Times New Roman"/>
          <w:b/>
          <w:color w:val="000000"/>
        </w:rPr>
        <w:t>органів місцевого самоврядування</w:t>
      </w:r>
      <w:r>
        <w:rPr>
          <w:rFonts w:ascii="Times New Roman" w:hAnsi="Times New Roman"/>
          <w:b/>
          <w:color w:val="000000"/>
        </w:rPr>
        <w:t xml:space="preserve"> на сектори енергетичного планування та визначення секторів</w:t>
      </w:r>
      <w:bookmarkEnd w:id="29"/>
      <w:bookmarkEnd w:id="30"/>
      <w:bookmarkEnd w:id="31"/>
    </w:p>
    <w:p>
      <w:pPr>
        <w:pStyle w:val="Normal"/>
        <w:jc w:val="center"/>
        <w:rPr>
          <w:rFonts w:ascii="Times New Roman" w:hAnsi="Times New Roman"/>
          <w:b/>
          <w:color w:val="000000"/>
        </w:rPr>
      </w:pPr>
      <w:r>
        <w:rPr>
          <w:rFonts w:ascii="Times New Roman" w:hAnsi="Times New Roman"/>
          <w:b/>
          <w:color w:val="000000"/>
        </w:rPr>
      </w:r>
    </w:p>
    <w:p>
      <w:pPr>
        <w:pStyle w:val="Normal"/>
        <w:ind w:firstLine="567"/>
        <w:jc w:val="both"/>
        <w:rPr>
          <w:rFonts w:ascii="Times New Roman" w:hAnsi="Times New Roman"/>
          <w:sz w:val="26"/>
          <w:szCs w:val="26"/>
        </w:rPr>
      </w:pPr>
      <w:r>
        <w:rPr>
          <w:rFonts w:ascii="Times New Roman" w:hAnsi="Times New Roman"/>
          <w:sz w:val="28"/>
          <w:szCs w:val="28"/>
        </w:rPr>
        <w:t xml:space="preserve">Під час аналізу впливу визначається рівень впливу </w:t>
      </w:r>
      <w:r>
        <w:rPr>
          <w:rFonts w:ascii="Times New Roman" w:hAnsi="Times New Roman"/>
          <w:sz w:val="28"/>
          <w:szCs w:val="28"/>
        </w:rPr>
        <w:t>міської</w:t>
      </w:r>
      <w:r>
        <w:rPr>
          <w:rFonts w:ascii="Times New Roman" w:hAnsi="Times New Roman"/>
          <w:sz w:val="28"/>
          <w:szCs w:val="28"/>
        </w:rPr>
        <w:t xml:space="preserve"> ради, її виконавчих органів («прямий», «опосередкований», «відсутній») на кожний з визначених секторів за трьома напрямками:</w:t>
      </w:r>
    </w:p>
    <w:p>
      <w:pPr>
        <w:pStyle w:val="Normal"/>
        <w:ind w:firstLine="567"/>
        <w:jc w:val="both"/>
        <w:rPr>
          <w:rFonts w:ascii="Times New Roman" w:hAnsi="Times New Roman"/>
          <w:sz w:val="26"/>
          <w:szCs w:val="26"/>
        </w:rPr>
      </w:pPr>
      <w:r>
        <w:rPr>
          <w:rFonts w:ascii="Times New Roman" w:hAnsi="Times New Roman"/>
          <w:sz w:val="28"/>
          <w:szCs w:val="28"/>
        </w:rPr>
        <w:t xml:space="preserve">- </w:t>
      </w:r>
      <w:r>
        <w:rPr>
          <w:rFonts w:eastAsia="Century Gothic" w:cs="Tahoma" w:ascii="Times New Roman" w:hAnsi="Times New Roman"/>
          <w:b w:val="false"/>
          <w:bCs w:val="false"/>
          <w:kern w:val="2"/>
          <w:sz w:val="28"/>
          <w:szCs w:val="28"/>
          <w:lang w:val="uk-UA" w:eastAsia="en-US" w:bidi="ar-SA"/>
        </w:rPr>
        <w:t>управління – вплив на прийняття управлінських рішень в секторі;</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регулювання – вплив на діяльність в секторі через прийняття регуляторних актів (у тому числі шляхом регулювання тарифів на комунальні послуги тощо);</w:t>
      </w:r>
    </w:p>
    <w:p>
      <w:pPr>
        <w:pStyle w:val="Normal"/>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фінансування – вплив на забезпечення операційної діяльності та/або розвитку в секторі шляхом здійснення видатків з місцевого бюджету.</w:t>
      </w:r>
    </w:p>
    <w:p>
      <w:pPr>
        <w:pStyle w:val="Normal"/>
        <w:spacing w:before="0" w:after="0"/>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xml:space="preserve">В своїй діяльності </w:t>
      </w:r>
      <w:r>
        <w:rPr>
          <w:rFonts w:eastAsia="Century Gothic" w:cs="Tahoma" w:ascii="Times New Roman" w:hAnsi="Times New Roman"/>
          <w:b w:val="false"/>
          <w:bCs w:val="false"/>
          <w:kern w:val="2"/>
          <w:sz w:val="28"/>
          <w:szCs w:val="28"/>
          <w:lang w:val="uk-UA" w:eastAsia="en-US" w:bidi="ar-SA"/>
        </w:rPr>
        <w:t>орган місцевого самоврядування</w:t>
      </w:r>
      <w:r>
        <w:rPr>
          <w:rFonts w:eastAsia="Century Gothic" w:cs="Tahoma" w:ascii="Times New Roman" w:hAnsi="Times New Roman"/>
          <w:b w:val="false"/>
          <w:bCs w:val="false"/>
          <w:kern w:val="2"/>
          <w:sz w:val="28"/>
          <w:szCs w:val="28"/>
          <w:lang w:val="uk-UA" w:eastAsia="en-US" w:bidi="ar-SA"/>
        </w:rPr>
        <w:t xml:space="preserve"> – Покровська </w:t>
      </w:r>
      <w:r>
        <w:rPr>
          <w:rFonts w:eastAsia="Century Gothic" w:cs="Tahoma" w:ascii="Times New Roman" w:hAnsi="Times New Roman"/>
          <w:b w:val="false"/>
          <w:bCs w:val="false"/>
          <w:kern w:val="2"/>
          <w:sz w:val="28"/>
          <w:szCs w:val="28"/>
          <w:lang w:val="uk-UA" w:eastAsia="en-US" w:bidi="ar-SA"/>
        </w:rPr>
        <w:t>міська</w:t>
      </w:r>
      <w:r>
        <w:rPr>
          <w:rFonts w:eastAsia="Century Gothic" w:cs="Tahoma" w:ascii="Times New Roman" w:hAnsi="Times New Roman"/>
          <w:b w:val="false"/>
          <w:bCs w:val="false"/>
          <w:kern w:val="2"/>
          <w:sz w:val="28"/>
          <w:szCs w:val="28"/>
          <w:lang w:val="uk-UA" w:eastAsia="en-US" w:bidi="ar-SA"/>
        </w:rPr>
        <w:t xml:space="preserve"> рада, відповідно до затвердженої Стратегії та Програми соціально-економічного розвитку охоплює різні сектори громади, маючи на них прямий, опосередкований або відсутній вплив.</w:t>
      </w:r>
    </w:p>
    <w:p>
      <w:pPr>
        <w:pStyle w:val="Normal"/>
        <w:spacing w:before="0" w:after="0"/>
        <w:ind w:firstLine="567"/>
        <w:jc w:val="both"/>
        <w:rPr>
          <w:rFonts w:ascii="Times New Roman" w:hAnsi="Times New Roman"/>
          <w:sz w:val="26"/>
          <w:szCs w:val="26"/>
        </w:rPr>
      </w:pPr>
      <w:r>
        <w:rPr>
          <w:rFonts w:eastAsia="Century Gothic" w:cs="Tahoma" w:ascii="Times New Roman" w:hAnsi="Times New Roman"/>
          <w:b w:val="false"/>
          <w:bCs w:val="false"/>
          <w:kern w:val="2"/>
          <w:sz w:val="28"/>
          <w:szCs w:val="28"/>
          <w:lang w:val="uk-UA" w:eastAsia="en-US" w:bidi="ar-SA"/>
        </w:rPr>
        <w:t xml:space="preserve"> </w:t>
      </w:r>
    </w:p>
    <w:p>
      <w:pPr>
        <w:pStyle w:val="Normal"/>
        <w:tabs>
          <w:tab w:val="clear" w:pos="709"/>
          <w:tab w:val="left" w:pos="851" w:leader="none"/>
          <w:tab w:val="left" w:pos="1418" w:leader="none"/>
        </w:tabs>
        <w:spacing w:before="57" w:after="57"/>
        <w:jc w:val="center"/>
        <w:rPr>
          <w:rFonts w:ascii="Century Gothic" w:hAnsi="Century Gothic"/>
          <w:sz w:val="22"/>
          <w:szCs w:val="22"/>
        </w:rPr>
      </w:pPr>
      <w:r>
        <w:rPr>
          <w:rFonts w:ascii="Times New Roman" w:hAnsi="Times New Roman"/>
          <w:b/>
          <w:bCs/>
          <w:sz w:val="28"/>
          <w:szCs w:val="28"/>
        </w:rPr>
        <w:t>Загальний аналіз впливу та рівні впливу</w:t>
      </w:r>
    </w:p>
    <w:tbl>
      <w:tblPr>
        <w:tblW w:w="9646" w:type="dxa"/>
        <w:jc w:val="start"/>
        <w:tblInd w:w="16" w:type="dxa"/>
        <w:tblLayout w:type="fixed"/>
        <w:tblCellMar>
          <w:top w:w="55" w:type="dxa"/>
          <w:start w:w="55" w:type="dxa"/>
          <w:bottom w:w="55" w:type="dxa"/>
          <w:end w:w="55" w:type="dxa"/>
        </w:tblCellMar>
      </w:tblPr>
      <w:tblGrid>
        <w:gridCol w:w="1710"/>
        <w:gridCol w:w="1695"/>
        <w:gridCol w:w="6241"/>
      </w:tblGrid>
      <w:tr>
        <w:trPr>
          <w:trHeight w:val="20" w:hRule="atLeast"/>
        </w:trPr>
        <w:tc>
          <w:tcPr>
            <w:tcW w:w="1710" w:type="dxa"/>
            <w:tcBorders>
              <w:top w:val="single" w:sz="4" w:space="0" w:color="000000"/>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Напрямки впливу</w:t>
            </w:r>
          </w:p>
        </w:tc>
        <w:tc>
          <w:tcPr>
            <w:tcW w:w="1695" w:type="dxa"/>
            <w:tcBorders>
              <w:top w:val="single" w:sz="4" w:space="0" w:color="000000"/>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Рівень</w:t>
            </w:r>
          </w:p>
        </w:tc>
        <w:tc>
          <w:tcPr>
            <w:tcW w:w="624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Короткий опис</w:t>
            </w:r>
          </w:p>
        </w:tc>
      </w:tr>
      <w:tr>
        <w:trPr>
          <w:trHeight w:val="20" w:hRule="atLeast"/>
        </w:trPr>
        <w:tc>
          <w:tcPr>
            <w:tcW w:w="1710" w:type="dxa"/>
            <w:vMerge w:val="restart"/>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 xml:space="preserve">Управління </w:t>
            </w:r>
          </w:p>
          <w:p>
            <w:pPr>
              <w:pStyle w:val="Normal"/>
              <w:widowControl/>
              <w:spacing w:lineRule="auto" w:line="240" w:before="0" w:after="0"/>
              <w:jc w:val="start"/>
              <w:rPr>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та/або його виконавчий орган має безпосередній вплив на управлінські рішення щодо здійснення операційної та інвестиційної діяльності в секторі</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та/або його виконавчий орган має обмежений вплив на здійснення операційної та/або інвестиційної діяльності, утримання об'єктів в секторі, у тому числі через діяльність комунальних підприємств, участь в проєктах  державно-приватного партнерства, надання земельних ділянок на платній або безоплатній основі у користування суб'єктам, здійснення контролю за витрачанням коштів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та/або його виконавчий орган жодним чином не впливає на прийняття управлінських рішень суб'єктів в секторі</w:t>
            </w:r>
          </w:p>
        </w:tc>
      </w:tr>
      <w:tr>
        <w:trPr>
          <w:trHeight w:val="20" w:hRule="atLeast"/>
        </w:trPr>
        <w:tc>
          <w:tcPr>
            <w:tcW w:w="1710" w:type="dxa"/>
            <w:vMerge w:val="restart"/>
            <w:tcBorders>
              <w:start w:val="single" w:sz="4" w:space="0" w:color="000000"/>
              <w:bottom w:val="single" w:sz="4" w:space="0" w:color="000000"/>
            </w:tcBorders>
            <w:vAlign w:val="center"/>
          </w:tcPr>
          <w:p>
            <w:pPr>
              <w:pStyle w:val="Normal"/>
              <w:widowControl/>
              <w:spacing w:lineRule="auto" w:line="240" w:before="0" w:after="0"/>
              <w:jc w:val="start"/>
              <w:rPr>
                <w:rFonts w:cs="Times New Roman"/>
                <w:b/>
                <w:bCs/>
                <w:szCs w:val="16"/>
              </w:rPr>
            </w:pPr>
            <w:r>
              <w:rPr>
                <w:rFonts w:eastAsia="Times New Roman" w:cs="Times New Roman" w:ascii="Times New Roman" w:hAnsi="Times New Roman"/>
                <w:b/>
                <w:bCs/>
                <w:i w:val="false"/>
                <w:iCs w:val="false"/>
                <w:strike w:val="false"/>
                <w:dstrike w:val="false"/>
                <w:outline w:val="false"/>
                <w:shadow w:val="false"/>
                <w:color w:val="000000"/>
                <w:kern w:val="0"/>
                <w:sz w:val="24"/>
                <w:szCs w:val="24"/>
                <w:u w:val="none"/>
                <w:shd w:fill="auto" w:val="clear"/>
                <w:lang w:val="uk-UA" w:eastAsia="uk-UA" w:bidi="ar-SA"/>
              </w:rPr>
              <w:t>Регулювання</w:t>
            </w:r>
          </w:p>
          <w:p>
            <w:pPr>
              <w:pStyle w:val="Normal"/>
              <w:widowControl/>
              <w:spacing w:lineRule="auto" w:line="240" w:before="0" w:after="0"/>
              <w:jc w:val="start"/>
              <w:rPr>
                <w:rFonts w:cs="Times New Roman"/>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має повноваження здійснювати регулювання діяльності суб'єктів в секторі, у тому числі шляхом встановлення норм/нормативів, умов, обмежень або заборони діяльності, ліцензування господарської  діяльності, регулювання цін і тарифів на послуги, проведення конкурсів на визначення надавачів послуг, умов доступу до інженерних мереж та об'єктів інфраструктури на території територіальної громади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має повноваження встановлювати місцеві податки та збори, які впливають на діяльність суб'єктів в секторі, здійснювати контроль за дотриманням вимог законодавства та державних регуляторних норм, застосовувати санкції за забруднення довкілля, порушення вимог законодавства, державних норм і правил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ОМС жодним чином не має повноважень здійснювати регулювання діяльності суб'єктів в секторі або контроль за дотриманням ними державних регуляторних норм</w:t>
            </w:r>
          </w:p>
        </w:tc>
      </w:tr>
      <w:tr>
        <w:trPr>
          <w:trHeight w:val="20" w:hRule="atLeast"/>
        </w:trPr>
        <w:tc>
          <w:tcPr>
            <w:tcW w:w="1710" w:type="dxa"/>
            <w:vMerge w:val="restart"/>
            <w:tcBorders>
              <w:start w:val="single" w:sz="4" w:space="0" w:color="000000"/>
              <w:bottom w:val="single" w:sz="4" w:space="0" w:color="000000"/>
            </w:tcBorders>
            <w:vAlign w:val="center"/>
          </w:tcPr>
          <w:p>
            <w:pPr>
              <w:pStyle w:val="Normal"/>
              <w:widowControl/>
              <w:spacing w:lineRule="auto" w:line="240" w:before="0" w:after="0"/>
              <w:jc w:val="start"/>
              <w:rPr>
                <w:rFonts w:cs="Times New Roman"/>
                <w:b/>
                <w:bCs/>
                <w:szCs w:val="16"/>
              </w:rPr>
            </w:pPr>
            <w:r>
              <w:rPr>
                <w:rFonts w:eastAsia="Times New Roman" w:ascii="Times New Roman" w:hAnsi="Times New Roman"/>
                <w:b/>
                <w:bCs/>
                <w:i w:val="false"/>
                <w:iCs w:val="false"/>
                <w:strike w:val="false"/>
                <w:dstrike w:val="false"/>
                <w:outline w:val="false"/>
                <w:shadow w:val="false"/>
                <w:color w:val="000000"/>
                <w:kern w:val="0"/>
                <w:sz w:val="24"/>
                <w:szCs w:val="24"/>
                <w:u w:val="none"/>
                <w:shd w:fill="auto" w:val="clear"/>
                <w:lang w:val="uk-UA" w:eastAsia="uk-UA" w:bidi="ar-SA"/>
              </w:rPr>
              <w:t>Фінансування</w:t>
            </w:r>
          </w:p>
          <w:p>
            <w:pPr>
              <w:pStyle w:val="Normal"/>
              <w:widowControl/>
              <w:spacing w:lineRule="auto" w:line="240" w:before="0" w:after="0"/>
              <w:jc w:val="start"/>
              <w:rPr>
                <w:rFonts w:cs="Times New Roman"/>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Повне або часткове фінансування поточних і капітальних витрат, та/або оплати за надані послуги здійснюється за кошти місцевого бюджету на постійній основі</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З місцевого бюджету фінансуються або фінансувалися програми підтримки/стимулювання капітальних вкладень і ремонтів, субсидії, дотації на здійснення поточних витрат або інші відшкодування понесених витрат, внески до статутного капіталу, виконання зобов’язань у рамках державно-приватного партнерства, надання кредитів (позик), місцевих гарантій, виконання платіжних зобов’язань за зовнішніми запозиченнями (державними або місцевими) тощо</w:t>
            </w:r>
          </w:p>
        </w:tc>
      </w:tr>
      <w:tr>
        <w:trPr>
          <w:trHeight w:val="20" w:hRule="atLeast"/>
        </w:trPr>
        <w:tc>
          <w:tcPr>
            <w:tcW w:w="1710" w:type="dxa"/>
            <w:vMerge w:val="continue"/>
            <w:tcBorders>
              <w:start w:val="single" w:sz="4" w:space="0" w:color="000000"/>
              <w:bottom w:val="single" w:sz="4" w:space="0" w:color="000000"/>
            </w:tcBorders>
            <w:vAlign w:val="center"/>
          </w:tcPr>
          <w:p>
            <w:pPr>
              <w:pStyle w:val="Normal"/>
              <w:rPr/>
            </w:pPr>
            <w:r>
              <w:rPr/>
            </w:r>
          </w:p>
        </w:tc>
        <w:tc>
          <w:tcPr>
            <w:tcW w:w="1695" w:type="dxa"/>
            <w:tcBorders>
              <w:start w:val="single" w:sz="4" w:space="0" w:color="000000"/>
              <w:bottom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6241" w:type="dxa"/>
            <w:tcBorders>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cs="Times New Roman"/>
                <w:szCs w:val="16"/>
              </w:rPr>
            </w:pPr>
            <w:r>
              <w:rPr>
                <w:rFonts w:eastAsia="Times New Roman" w:cs="Times New Roman"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З місцевого бюджету жодним чином не надаються кошти на співфінансування поточних витрат або капітальних вкладень</w:t>
            </w:r>
          </w:p>
        </w:tc>
      </w:tr>
    </w:tbl>
    <w:p>
      <w:pPr>
        <w:pStyle w:val="Normal"/>
        <w:spacing w:before="160" w:after="0"/>
        <w:jc w:val="end"/>
        <w:rPr>
          <w:rFonts w:ascii="Century Gothic" w:hAnsi="Century Gothic"/>
          <w:sz w:val="22"/>
          <w:szCs w:val="22"/>
        </w:rPr>
      </w:pPr>
      <w:r>
        <w:rPr/>
      </w:r>
    </w:p>
    <w:p>
      <w:pPr>
        <w:pStyle w:val="Normal"/>
        <w:tabs>
          <w:tab w:val="clear" w:pos="709"/>
          <w:tab w:val="left" w:pos="851" w:leader="none"/>
          <w:tab w:val="left" w:pos="1418" w:leader="none"/>
        </w:tabs>
        <w:spacing w:before="0" w:after="0"/>
        <w:jc w:val="center"/>
        <w:rPr>
          <w:rFonts w:ascii="Century Gothic" w:hAnsi="Century Gothic"/>
          <w:sz w:val="22"/>
          <w:szCs w:val="22"/>
        </w:rPr>
      </w:pPr>
      <w:r>
        <w:rPr>
          <w:rFonts w:ascii="Times New Roman" w:hAnsi="Times New Roman"/>
          <w:b/>
          <w:bCs/>
          <w:sz w:val="28"/>
          <w:szCs w:val="28"/>
        </w:rPr>
        <w:t>Оцінка впливу ОМС на сектори</w:t>
      </w:r>
    </w:p>
    <w:tbl>
      <w:tblPr>
        <w:tblW w:w="9621" w:type="dxa"/>
        <w:jc w:val="start"/>
        <w:tblInd w:w="-103" w:type="dxa"/>
        <w:tblLayout w:type="fixed"/>
        <w:tblCellMar>
          <w:top w:w="55" w:type="dxa"/>
          <w:start w:w="55" w:type="dxa"/>
          <w:bottom w:w="55" w:type="dxa"/>
          <w:end w:w="55" w:type="dxa"/>
        </w:tblCellMar>
      </w:tblPr>
      <w:tblGrid>
        <w:gridCol w:w="395"/>
        <w:gridCol w:w="2495"/>
        <w:gridCol w:w="1926"/>
        <w:gridCol w:w="1950"/>
        <w:gridCol w:w="1953"/>
        <w:gridCol w:w="902"/>
      </w:tblGrid>
      <w:tr>
        <w:trPr/>
        <w:tc>
          <w:tcPr>
            <w:tcW w:w="395"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 xml:space="preserve">№ </w:t>
            </w: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з/п</w:t>
            </w:r>
          </w:p>
        </w:tc>
        <w:tc>
          <w:tcPr>
            <w:tcW w:w="2495"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Назва сектору</w:t>
            </w:r>
          </w:p>
        </w:tc>
        <w:tc>
          <w:tcPr>
            <w:tcW w:w="1926"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управління</w:t>
            </w:r>
          </w:p>
        </w:tc>
        <w:tc>
          <w:tcPr>
            <w:tcW w:w="1950"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регулювання</w:t>
            </w:r>
          </w:p>
        </w:tc>
        <w:tc>
          <w:tcPr>
            <w:tcW w:w="1953" w:type="dxa"/>
            <w:tcBorders>
              <w:top w:val="single" w:sz="4" w:space="0" w:color="000000"/>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фінансування</w:t>
            </w:r>
          </w:p>
        </w:tc>
        <w:tc>
          <w:tcPr>
            <w:tcW w:w="902" w:type="dxa"/>
            <w:tcBorders>
              <w:top w:val="single" w:sz="4" w:space="0" w:color="000000"/>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bCs w:val="false"/>
                <w:i w:val="false"/>
                <w:iCs w:val="false"/>
                <w:strike w:val="false"/>
                <w:dstrike w:val="false"/>
                <w:outline w:val="false"/>
                <w:shadow w:val="false"/>
                <w:color w:val="000000"/>
                <w:kern w:val="0"/>
                <w:sz w:val="24"/>
                <w:szCs w:val="24"/>
                <w:u w:val="none"/>
                <w:shd w:fill="auto" w:val="clear"/>
                <w:lang w:val="uk-UA" w:eastAsia="uk-UA" w:bidi="ar-SA"/>
              </w:rPr>
              <w:t>Вибір сектору</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Громадські будівлі</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2</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Зовнішнє освітлення</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3</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Сфера теплопостачання</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4</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 xml:space="preserve">Сфера водопостачання </w:t>
            </w: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та водовідведення</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прямий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5</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Сфера управління побутовими відходами</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так</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6</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Житлові будинки</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опосередкований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7</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Громадський т</w:t>
            </w: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ранспорт</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8</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Газова інфраструктура</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9</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Електроенергетика</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10</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Промисловість</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11</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Сільське господарство</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12</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Інші сфери послуг</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r>
        <w:trPr/>
        <w:tc>
          <w:tcPr>
            <w:tcW w:w="3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ascii="Times New Roman" w:hAnsi="Times New Roman"/>
                <w:b w:val="false"/>
                <w:bCs w:val="false"/>
                <w:i w:val="false"/>
                <w:iCs w:val="false"/>
                <w:strike w:val="false"/>
                <w:dstrike w:val="false"/>
                <w:outline w:val="false"/>
                <w:shadow w:val="false"/>
                <w:color w:val="000000"/>
                <w:sz w:val="24"/>
                <w:szCs w:val="24"/>
                <w:u w:val="none"/>
                <w:shd w:fill="auto" w:val="clear"/>
              </w:rPr>
              <w:t>13</w:t>
            </w:r>
          </w:p>
        </w:tc>
        <w:tc>
          <w:tcPr>
            <w:tcW w:w="2495"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bCs/>
                <w:szCs w:val="16"/>
              </w:rPr>
            </w:pP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 xml:space="preserve">Інші </w:t>
            </w:r>
            <w:r>
              <w:rPr>
                <w:rFonts w:eastAsia="Times New Roman" w:cs="Century Gothic" w:ascii="Times New Roman" w:hAnsi="Times New Roman"/>
                <w:b w:val="false"/>
                <w:bCs/>
                <w:i w:val="false"/>
                <w:iCs w:val="false"/>
                <w:strike w:val="false"/>
                <w:dstrike w:val="false"/>
                <w:outline w:val="false"/>
                <w:shadow w:val="false"/>
                <w:color w:val="000000"/>
                <w:kern w:val="0"/>
                <w:sz w:val="24"/>
                <w:szCs w:val="24"/>
                <w:u w:val="none"/>
                <w:shd w:fill="auto" w:val="clear"/>
                <w:lang w:val="uk-UA" w:eastAsia="uk-UA" w:bidi="ar-SA"/>
              </w:rPr>
              <w:t>види транспорту</w:t>
            </w:r>
          </w:p>
        </w:tc>
        <w:tc>
          <w:tcPr>
            <w:tcW w:w="1926"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0"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1953" w:type="dxa"/>
            <w:tcBorders>
              <w:start w:val="single" w:sz="4" w:space="0" w:color="000000"/>
              <w:bottom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відсутній</w:t>
            </w:r>
          </w:p>
        </w:tc>
        <w:tc>
          <w:tcPr>
            <w:tcW w:w="902" w:type="dxa"/>
            <w:tcBorders>
              <w:start w:val="single" w:sz="4" w:space="0" w:color="000000"/>
              <w:bottom w:val="single" w:sz="4" w:space="0" w:color="000000"/>
              <w:end w:val="single" w:sz="4" w:space="0" w:color="000000"/>
            </w:tcBorders>
            <w:vAlign w:val="center"/>
          </w:tcPr>
          <w:p>
            <w:pPr>
              <w:pStyle w:val="Normal"/>
              <w:widowControl/>
              <w:tabs>
                <w:tab w:val="clear" w:pos="709"/>
                <w:tab w:val="left" w:pos="851" w:leader="none"/>
                <w:tab w:val="left" w:pos="1418" w:leader="none"/>
              </w:tabs>
              <w:spacing w:lineRule="auto" w:line="240" w:before="0" w:after="0"/>
              <w:jc w:val="start"/>
              <w:rPr>
                <w:szCs w:val="16"/>
              </w:rPr>
            </w:pPr>
            <w:r>
              <w:rPr>
                <w:rFonts w:eastAsia="Times New Roman" w:cs="Century Gothic" w:ascii="Times New Roman" w:hAnsi="Times New Roman"/>
                <w:b w:val="false"/>
                <w:bCs w:val="false"/>
                <w:i w:val="false"/>
                <w:iCs w:val="false"/>
                <w:strike w:val="false"/>
                <w:dstrike w:val="false"/>
                <w:outline w:val="false"/>
                <w:shadow w:val="false"/>
                <w:color w:val="000000"/>
                <w:kern w:val="0"/>
                <w:sz w:val="24"/>
                <w:szCs w:val="24"/>
                <w:u w:val="none"/>
                <w:shd w:fill="auto" w:val="clear"/>
                <w:lang w:val="uk-UA" w:eastAsia="uk-UA" w:bidi="ar-SA"/>
              </w:rPr>
              <w:t>ні</w:t>
            </w:r>
          </w:p>
        </w:tc>
      </w:tr>
    </w:tbl>
    <w:p>
      <w:pPr>
        <w:pStyle w:val="Normal"/>
        <w:ind w:firstLine="567"/>
        <w:jc w:val="both"/>
        <w:rPr>
          <w:rFonts w:ascii="Times New Roman" w:hAnsi="Times New Roman"/>
          <w:sz w:val="26"/>
          <w:szCs w:val="26"/>
        </w:rPr>
      </w:pPr>
      <w:r>
        <w:rPr>
          <w:rFonts w:ascii="Times New Roman" w:hAnsi="Times New Roman"/>
          <w:sz w:val="28"/>
          <w:szCs w:val="28"/>
        </w:rPr>
      </w:r>
    </w:p>
    <w:p>
      <w:pPr>
        <w:pStyle w:val="Normal"/>
        <w:ind w:firstLine="567"/>
        <w:jc w:val="both"/>
        <w:rPr>
          <w:rFonts w:ascii="Times New Roman" w:hAnsi="Times New Roman"/>
          <w:sz w:val="26"/>
          <w:szCs w:val="26"/>
        </w:rPr>
      </w:pPr>
      <w:r>
        <w:rPr>
          <w:rFonts w:ascii="Times New Roman" w:hAnsi="Times New Roman"/>
          <w:sz w:val="28"/>
          <w:szCs w:val="28"/>
        </w:rPr>
        <w:t xml:space="preserve">За результатами виконаного аналізу вихідного стану енергетичного розвитку здійснили ранжування та визначили пріоритетні сектори енергетичного планування для досягнення цілей сталого енергетичного розвитку території </w:t>
      </w:r>
      <w:r>
        <w:rPr>
          <w:rFonts w:ascii="Times New Roman" w:hAnsi="Times New Roman"/>
          <w:sz w:val="28"/>
          <w:szCs w:val="28"/>
        </w:rPr>
        <w:t>Покровської міської</w:t>
      </w:r>
      <w:r>
        <w:rPr>
          <w:rFonts w:ascii="Times New Roman" w:hAnsi="Times New Roman"/>
          <w:sz w:val="28"/>
          <w:szCs w:val="28"/>
        </w:rPr>
        <w:t xml:space="preserve"> територіальної громади. При цьому були враховані вимоги щодо включення обов’язкових секторів для визначення цілей сталого енергетичного розвитку території територіальної громади. Відповідно по даних секторах будуть визначатись цілі сталого енергетичного розвитку.</w:t>
      </w:r>
    </w:p>
    <w:p>
      <w:pPr>
        <w:pStyle w:val="Normal"/>
        <w:ind w:firstLine="567"/>
        <w:jc w:val="both"/>
        <w:rPr>
          <w:rFonts w:ascii="Times New Roman" w:hAnsi="Times New Roman"/>
          <w:sz w:val="26"/>
          <w:szCs w:val="26"/>
        </w:rPr>
      </w:pPr>
      <w:r>
        <w:rPr>
          <w:rFonts w:eastAsia="Times New Roman" w:cs="Times New Roman" w:ascii="Times New Roman" w:hAnsi="Times New Roman"/>
          <w:color w:val="000000"/>
          <w:kern w:val="0"/>
          <w:sz w:val="28"/>
          <w:szCs w:val="28"/>
          <w:lang w:eastAsia="uk-UA"/>
        </w:rPr>
      </w:r>
    </w:p>
    <w:p>
      <w:pPr>
        <w:pStyle w:val="BodyText"/>
        <w:spacing w:lineRule="auto" w:line="259" w:before="0" w:after="0"/>
        <w:jc w:val="center"/>
        <w:rPr>
          <w:rFonts w:ascii="Times New Roman" w:hAnsi="Times New Roman" w:eastAsia="Times New Roman" w:cs="Times New Roman"/>
          <w:color w:val="000000"/>
          <w:kern w:val="0"/>
          <w:sz w:val="28"/>
          <w:szCs w:val="28"/>
          <w:lang w:eastAsia="uk-UA"/>
        </w:rPr>
      </w:pPr>
      <w:r>
        <w:rPr>
          <w:rFonts w:eastAsia="Times New Roman" w:cs="Times New Roman" w:ascii="Times New Roman" w:hAnsi="Times New Roman"/>
          <w:b/>
          <w:color w:val="000000"/>
          <w:kern w:val="0"/>
          <w:sz w:val="28"/>
          <w:szCs w:val="28"/>
          <w:lang w:eastAsia="uk-UA"/>
        </w:rPr>
        <w:t>2.</w:t>
      </w:r>
      <w:r>
        <w:rPr>
          <w:rFonts w:eastAsia="Times New Roman" w:cs="Times New Roman" w:ascii="Times New Roman" w:hAnsi="Times New Roman"/>
          <w:b/>
          <w:color w:val="000000"/>
          <w:kern w:val="0"/>
          <w:sz w:val="28"/>
          <w:szCs w:val="28"/>
          <w:lang w:eastAsia="uk-UA"/>
        </w:rPr>
        <w:t>3.</w:t>
      </w:r>
      <w:r>
        <w:rPr>
          <w:rFonts w:eastAsia="Times New Roman" w:cs="Times New Roman" w:ascii="Times New Roman" w:hAnsi="Times New Roman"/>
          <w:b/>
          <w:color w:val="000000"/>
          <w:kern w:val="0"/>
          <w:sz w:val="28"/>
          <w:szCs w:val="28"/>
          <w:shd w:fill="auto" w:val="clear"/>
          <w:lang w:eastAsia="uk-UA"/>
        </w:rPr>
        <w:t xml:space="preserve"> </w:t>
      </w:r>
      <w:r>
        <w:rPr>
          <w:rFonts w:eastAsia="Times New Roman" w:cs="Times New Roman" w:ascii="Times New Roman" w:hAnsi="Times New Roman"/>
          <w:b/>
          <w:color w:val="000000"/>
          <w:kern w:val="0"/>
          <w:sz w:val="28"/>
          <w:szCs w:val="28"/>
          <w:shd w:fill="auto" w:val="clear"/>
          <w:lang w:eastAsia="uk-UA"/>
        </w:rPr>
        <w:t xml:space="preserve">ОСНОВНІ </w:t>
      </w:r>
      <w:r>
        <w:rPr>
          <w:rFonts w:eastAsia="Times New Roman" w:cs="Times New Roman" w:ascii="Times New Roman" w:hAnsi="Times New Roman"/>
          <w:b/>
          <w:color w:val="000000"/>
          <w:kern w:val="0"/>
          <w:sz w:val="28"/>
          <w:szCs w:val="28"/>
          <w:shd w:fill="auto" w:val="clear"/>
          <w:lang w:eastAsia="uk-UA"/>
        </w:rPr>
        <w:t>ХАРАКТЕРИСТИК</w:t>
      </w:r>
      <w:r>
        <w:rPr>
          <w:rFonts w:eastAsia="Times New Roman" w:cs="Times New Roman" w:ascii="Times New Roman" w:hAnsi="Times New Roman"/>
          <w:b/>
          <w:color w:val="000000"/>
          <w:kern w:val="0"/>
          <w:sz w:val="28"/>
          <w:szCs w:val="28"/>
          <w:shd w:fill="auto" w:val="clear"/>
          <w:lang w:eastAsia="uk-UA"/>
        </w:rPr>
        <w:t>И</w:t>
      </w:r>
      <w:r>
        <w:rPr>
          <w:rFonts w:eastAsia="Times New Roman" w:cs="Times New Roman" w:ascii="Times New Roman" w:hAnsi="Times New Roman"/>
          <w:b/>
          <w:color w:val="000000"/>
          <w:kern w:val="0"/>
          <w:sz w:val="28"/>
          <w:szCs w:val="28"/>
          <w:shd w:fill="auto" w:val="clear"/>
          <w:lang w:eastAsia="uk-UA"/>
        </w:rPr>
        <w:t xml:space="preserve"> СЕКТОРІВ ЕНЕРГЕТИЧНОГО ПЛАНУВАННЯ</w:t>
      </w:r>
    </w:p>
    <w:p>
      <w:pPr>
        <w:pStyle w:val="Normal"/>
        <w:spacing w:before="0" w:after="0"/>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center"/>
        <w:rPr>
          <w:rFonts w:ascii="Times New Roman" w:hAnsi="Times New Roman"/>
          <w:sz w:val="26"/>
          <w:szCs w:val="26"/>
        </w:rPr>
      </w:pPr>
      <w:r>
        <w:rPr>
          <w:rFonts w:ascii="Times New Roman" w:hAnsi="Times New Roman"/>
          <w:b/>
          <w:bCs/>
          <w:sz w:val="28"/>
          <w:szCs w:val="28"/>
          <w:shd w:fill="auto" w:val="clear"/>
        </w:rPr>
        <w:t>2.</w:t>
      </w:r>
      <w:r>
        <w:rPr>
          <w:rFonts w:ascii="Times New Roman" w:hAnsi="Times New Roman"/>
          <w:b/>
          <w:bCs/>
          <w:sz w:val="28"/>
          <w:szCs w:val="28"/>
          <w:shd w:fill="auto" w:val="clear"/>
        </w:rPr>
        <w:t>3</w:t>
      </w:r>
      <w:r>
        <w:rPr>
          <w:rFonts w:ascii="Times New Roman" w:hAnsi="Times New Roman"/>
          <w:b/>
          <w:bCs/>
          <w:sz w:val="28"/>
          <w:szCs w:val="28"/>
          <w:shd w:fill="auto" w:val="clear"/>
        </w:rPr>
        <w:t xml:space="preserve">.1 </w:t>
      </w:r>
      <w:r>
        <w:rPr>
          <w:rFonts w:ascii="Times New Roman" w:hAnsi="Times New Roman"/>
          <w:b/>
          <w:bCs/>
          <w:sz w:val="28"/>
          <w:szCs w:val="28"/>
          <w:shd w:fill="auto" w:val="clear"/>
        </w:rPr>
        <w:t>Громадські</w:t>
      </w:r>
      <w:r>
        <w:rPr>
          <w:rFonts w:ascii="Times New Roman" w:hAnsi="Times New Roman"/>
          <w:b/>
          <w:bCs/>
          <w:sz w:val="28"/>
          <w:szCs w:val="28"/>
          <w:shd w:fill="auto" w:val="clear"/>
        </w:rPr>
        <w:t xml:space="preserve"> будівлі</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Громадські (бю</w:t>
      </w:r>
      <w:r>
        <w:rPr>
          <w:rFonts w:eastAsia="Century Gothic" w:cs="Century Gothic" w:ascii="Times New Roman" w:hAnsi="Times New Roman"/>
          <w:color w:val="000000"/>
          <w:kern w:val="0"/>
          <w:sz w:val="28"/>
          <w:szCs w:val="28"/>
          <w:lang w:eastAsia="uk-UA"/>
        </w:rPr>
        <w:t>джетні) будівлі представлені будівлями закладів освіти (дошкільні навчальні заклади, заклади середньої освіти та позашкільної освіти), закладів охорони здоров'я, закладів культури, будівлями закладів соціального захисту населення, інших бюджетних установ, в т.ч. адміністративних будівель.</w:t>
      </w:r>
    </w:p>
    <w:p>
      <w:pPr>
        <w:pStyle w:val="Normal"/>
        <w:ind w:firstLine="567"/>
        <w:jc w:val="center"/>
        <w:rPr>
          <w:rFonts w:ascii="Times New Roman" w:hAnsi="Times New Roman"/>
          <w:sz w:val="26"/>
          <w:szCs w:val="26"/>
        </w:rPr>
      </w:pPr>
      <w:r>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Освіта</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Мережа закладів освіти Покровської міської територіальної громади включає: </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- 7 закладів дошкільної освіти,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- 8 закладів загальної середньої освіти, один з яких розташований у сільській місце</w:t>
      </w:r>
      <w:r>
        <w:rPr>
          <w:rFonts w:eastAsia="Century Gothic" w:cs="Century Gothic" w:ascii="Times New Roman" w:hAnsi="Times New Roman"/>
          <w:color w:val="000000"/>
          <w:kern w:val="0"/>
          <w:sz w:val="28"/>
          <w:szCs w:val="28"/>
          <w:lang w:eastAsia="uk-UA"/>
        </w:rPr>
        <w:t>вості – КЗ "ШОЛОХОВСЬКИЙ ЛІЦЕЙ",</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- 2 заклади позашкільної освіти.</w:t>
      </w:r>
    </w:p>
    <w:p>
      <w:pPr>
        <w:pStyle w:val="Normal"/>
        <w:spacing w:before="114" w:after="114"/>
        <w:jc w:val="center"/>
        <w:rPr/>
      </w:pPr>
      <w:r>
        <w:rPr>
          <w:rStyle w:val="Style12"/>
          <w:rFonts w:ascii="Times New Roman" w:hAnsi="Times New Roman"/>
          <w:b/>
          <w:bCs/>
          <w:sz w:val="28"/>
          <w:szCs w:val="28"/>
        </w:rPr>
        <w:t xml:space="preserve">Перелік закладів </w:t>
      </w:r>
      <w:r>
        <w:rPr>
          <w:rStyle w:val="Style12"/>
          <w:rFonts w:ascii="Times New Roman" w:hAnsi="Times New Roman"/>
          <w:b/>
          <w:bCs/>
          <w:sz w:val="28"/>
          <w:szCs w:val="28"/>
        </w:rPr>
        <w:t>загальної середньої освіти</w:t>
      </w:r>
    </w:p>
    <w:tbl>
      <w:tblPr>
        <w:tblW w:w="5000" w:type="pct"/>
        <w:jc w:val="start"/>
        <w:tblInd w:w="-5" w:type="dxa"/>
        <w:tblLayout w:type="fixed"/>
        <w:tblCellMar>
          <w:top w:w="55" w:type="dxa"/>
          <w:start w:w="55" w:type="dxa"/>
          <w:bottom w:w="55" w:type="dxa"/>
          <w:end w:w="55" w:type="dxa"/>
        </w:tblCellMar>
      </w:tblPr>
      <w:tblGrid>
        <w:gridCol w:w="931"/>
        <w:gridCol w:w="8424"/>
      </w:tblGrid>
      <w:tr>
        <w:trPr/>
        <w:tc>
          <w:tcPr>
            <w:tcW w:w="931" w:type="dxa"/>
            <w:tcBorders>
              <w:top w:val="single" w:sz="4" w:space="0" w:color="000000"/>
              <w:start w:val="single" w:sz="4" w:space="0" w:color="000000"/>
              <w:bottom w:val="single" w:sz="4" w:space="0" w:color="000000"/>
            </w:tcBorders>
          </w:tcPr>
          <w:p>
            <w:pPr>
              <w:pStyle w:val="Style20"/>
              <w:jc w:val="center"/>
              <w:rPr>
                <w:rFonts w:ascii="Times New Roman" w:hAnsi="Times New Roman" w:eastAsia="Century Gothic" w:cs="Century Gothic"/>
                <w:b/>
                <w:bCs/>
                <w:sz w:val="26"/>
                <w:szCs w:val="26"/>
              </w:rPr>
            </w:pPr>
            <w:r>
              <w:rPr>
                <w:rFonts w:eastAsia="Century Gothic" w:cs="Century Gothic" w:ascii="Times New Roman" w:hAnsi="Times New Roman"/>
                <w:b/>
                <w:bCs/>
                <w:sz w:val="26"/>
                <w:szCs w:val="26"/>
              </w:rPr>
              <w:t>№</w:t>
            </w:r>
          </w:p>
          <w:p>
            <w:pPr>
              <w:pStyle w:val="Style20"/>
              <w:jc w:val="center"/>
              <w:rPr>
                <w:rFonts w:ascii="Times New Roman" w:hAnsi="Times New Roman" w:eastAsia="Century Gothic" w:cs="Century Gothic"/>
                <w:b/>
                <w:bCs/>
                <w:sz w:val="26"/>
                <w:szCs w:val="26"/>
              </w:rPr>
            </w:pPr>
            <w:r>
              <w:rPr>
                <w:rFonts w:eastAsia="Century Gothic" w:cs="Century Gothic" w:ascii="Times New Roman" w:hAnsi="Times New Roman"/>
                <w:b/>
                <w:bCs/>
                <w:sz w:val="26"/>
                <w:szCs w:val="26"/>
              </w:rPr>
              <w:t>п/п</w:t>
            </w:r>
          </w:p>
        </w:tc>
        <w:tc>
          <w:tcPr>
            <w:tcW w:w="842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b/>
                <w:bCs/>
                <w:sz w:val="26"/>
                <w:szCs w:val="26"/>
              </w:rPr>
              <w:t xml:space="preserve">Назва закладу </w:t>
            </w:r>
            <w:r>
              <w:rPr>
                <w:rStyle w:val="Style12"/>
                <w:rFonts w:eastAsia="Century Gothic" w:cs="Century Gothic" w:ascii="Times New Roman" w:hAnsi="Times New Roman"/>
                <w:b/>
                <w:bCs/>
                <w:sz w:val="26"/>
                <w:szCs w:val="26"/>
              </w:rPr>
              <w:t>загальної середньої освіти</w:t>
            </w:r>
          </w:p>
        </w:tc>
      </w:tr>
      <w:tr>
        <w:trPr>
          <w:trHeight w:val="573" w:hRule="atLeast"/>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1.</w:t>
            </w:r>
          </w:p>
        </w:tc>
        <w:tc>
          <w:tcPr>
            <w:tcW w:w="8424" w:type="dxa"/>
            <w:tcBorders>
              <w:start w:val="single" w:sz="4" w:space="0" w:color="000000"/>
              <w:bottom w:val="single" w:sz="4" w:space="0" w:color="000000"/>
              <w:end w:val="single" w:sz="4" w:space="0" w:color="000000"/>
            </w:tcBorders>
          </w:tcPr>
          <w:p>
            <w:pPr>
              <w:pStyle w:val="Style20"/>
              <w:jc w:val="start"/>
              <w:rPr/>
            </w:pPr>
            <w:hyperlink r:id="rId4">
              <w:r>
                <w:rPr>
                  <w:rStyle w:val="Hyperlink"/>
                  <w:rFonts w:eastAsia="Century Gothic" w:cs="Times New Roman" w:ascii="Times New Roman" w:hAnsi="Times New Roman"/>
                  <w:color w:val="000000"/>
                  <w:sz w:val="26"/>
                  <w:szCs w:val="26"/>
                  <w:u w:val="none"/>
                </w:rPr>
                <w:t>КОМУНАЛЬНИЙ ЗАКЛАД «ЛІЦЕЙ №2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2.</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5">
              <w:r>
                <w:rPr>
                  <w:rStyle w:val="Hyperlink"/>
                  <w:rFonts w:eastAsia="Century Gothic" w:cs="Century Gothic" w:ascii="Times New Roman" w:hAnsi="Times New Roman"/>
                  <w:color w:val="000000"/>
                  <w:sz w:val="26"/>
                  <w:szCs w:val="26"/>
                  <w:u w:val="none"/>
                </w:rPr>
                <w:t>КОМУНАЛЬНИЙ ЗАКЛАД "ЛІЦЕЙ №3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3.</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6">
              <w:r>
                <w:rPr>
                  <w:rStyle w:val="Hyperlink"/>
                  <w:rFonts w:eastAsia="Century Gothic" w:cs="Century Gothic" w:ascii="Times New Roman" w:hAnsi="Times New Roman"/>
                  <w:color w:val="000000"/>
                  <w:sz w:val="26"/>
                  <w:szCs w:val="26"/>
                  <w:u w:val="none"/>
                </w:rPr>
                <w:t>КОМУНАЛЬНИЙ ЗАКЛАД "ГІМНАЗІЯ №4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4.</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7">
              <w:r>
                <w:rPr>
                  <w:rStyle w:val="Hyperlink"/>
                  <w:rFonts w:eastAsia="Century Gothic" w:cs="Century Gothic" w:ascii="Times New Roman" w:hAnsi="Times New Roman"/>
                  <w:color w:val="000000"/>
                  <w:sz w:val="26"/>
                  <w:szCs w:val="26"/>
                  <w:u w:val="none"/>
                </w:rPr>
                <w:t>КОМУНАЛЬНИЙ ЗАКЛАД "ЛІЦЕЙ №5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5.</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8">
              <w:r>
                <w:rPr>
                  <w:rStyle w:val="Hyperlink"/>
                  <w:rFonts w:eastAsia="Century Gothic" w:cs="Century Gothic" w:ascii="Times New Roman" w:hAnsi="Times New Roman"/>
                  <w:color w:val="000000"/>
                  <w:sz w:val="26"/>
                  <w:szCs w:val="26"/>
                  <w:u w:val="none"/>
                </w:rPr>
                <w:t>КОМУНАЛЬНИЙ ЗАКЛАД "ЛІЦЕЙ №6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6.</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9">
              <w:r>
                <w:rPr>
                  <w:rStyle w:val="Hyperlink"/>
                  <w:rFonts w:eastAsia="Century Gothic" w:cs="Century Gothic" w:ascii="Times New Roman" w:hAnsi="Times New Roman"/>
                  <w:color w:val="000000"/>
                  <w:sz w:val="26"/>
                  <w:szCs w:val="26"/>
                  <w:u w:val="none"/>
                </w:rPr>
                <w:t>КОМУНАЛЬНИЙ ЗАКЛАД "ЛІЦЕЙ №8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7.</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10">
              <w:r>
                <w:rPr>
                  <w:rStyle w:val="Hyperlink"/>
                  <w:rFonts w:eastAsia="Century Gothic" w:cs="Century Gothic" w:ascii="Times New Roman" w:hAnsi="Times New Roman"/>
                  <w:color w:val="000000"/>
                  <w:sz w:val="26"/>
                  <w:szCs w:val="26"/>
                  <w:u w:val="none"/>
                </w:rPr>
                <w:t>КОМУНАЛЬНИЙ ЗАКЛАД "ЛІЦЕЙ №9 ПОКРОВСЬКОЇ МІСЬКОЇ РАДИ ДНІПРОПЕТРОВСЬКОЇ ОБЛАСТІ"</w:t>
              </w:r>
            </w:hyperlink>
          </w:p>
        </w:tc>
      </w:tr>
      <w:tr>
        <w:trPr/>
        <w:tc>
          <w:tcPr>
            <w:tcW w:w="931" w:type="dxa"/>
            <w:tcBorders>
              <w:start w:val="single" w:sz="4" w:space="0" w:color="000000"/>
              <w:bottom w:val="single" w:sz="4" w:space="0" w:color="000000"/>
            </w:tcBorders>
          </w:tcPr>
          <w:p>
            <w:pPr>
              <w:pStyle w:val="Style20"/>
              <w:jc w:val="center"/>
              <w:rPr>
                <w:rFonts w:ascii="Times New Roman" w:hAnsi="Times New Roman" w:eastAsia="Century Gothic" w:cs="Century Gothic"/>
                <w:sz w:val="26"/>
                <w:szCs w:val="26"/>
              </w:rPr>
            </w:pPr>
            <w:r>
              <w:rPr>
                <w:rFonts w:eastAsia="Century Gothic" w:cs="Century Gothic" w:ascii="Times New Roman" w:hAnsi="Times New Roman"/>
                <w:sz w:val="26"/>
                <w:szCs w:val="26"/>
              </w:rPr>
              <w:t>8.</w:t>
            </w:r>
          </w:p>
        </w:tc>
        <w:tc>
          <w:tcPr>
            <w:tcW w:w="8424"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sz w:val="24"/>
                <w:szCs w:val="24"/>
              </w:rPr>
            </w:pPr>
            <w:hyperlink r:id="rId11">
              <w:r>
                <w:rPr>
                  <w:rStyle w:val="Hyperlink"/>
                  <w:rFonts w:eastAsia="Century Gothic" w:cs="Century Gothic" w:ascii="Times New Roman" w:hAnsi="Times New Roman"/>
                  <w:color w:val="000000"/>
                  <w:sz w:val="26"/>
                  <w:szCs w:val="26"/>
                  <w:u w:val="none"/>
                </w:rPr>
                <w:t>КОМУНАЛЬНИЙ ЗАКЛАД "ШОЛОХОВСЬКИЙ ЛІЦЕЙ ПОКРОВСЬКОЇ МІСЬКОЇ РАДИ ДНІПРОПЕТРОВСЬКОЇ ОБЛАСТІ"</w:t>
              </w:r>
            </w:hyperlink>
          </w:p>
        </w:tc>
      </w:tr>
    </w:tbl>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before="228" w:after="228"/>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228" w:after="228"/>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загальної середньої освіти</w:t>
      </w:r>
    </w:p>
    <w:tbl>
      <w:tblPr>
        <w:tblW w:w="5000" w:type="pct"/>
        <w:jc w:val="start"/>
        <w:tblInd w:w="-5" w:type="dxa"/>
        <w:tblLayout w:type="fixed"/>
        <w:tblCellMar>
          <w:top w:w="55" w:type="dxa"/>
          <w:start w:w="55" w:type="dxa"/>
          <w:bottom w:w="55" w:type="dxa"/>
          <w:end w:w="55" w:type="dxa"/>
        </w:tblCellMar>
      </w:tblPr>
      <w:tblGrid>
        <w:gridCol w:w="1412"/>
        <w:gridCol w:w="1492"/>
        <w:gridCol w:w="1384"/>
        <w:gridCol w:w="1664"/>
        <w:gridCol w:w="1367"/>
        <w:gridCol w:w="2036"/>
      </w:tblGrid>
      <w:tr>
        <w:trPr/>
        <w:tc>
          <w:tcPr>
            <w:tcW w:w="141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закладів</w:t>
            </w:r>
          </w:p>
        </w:tc>
        <w:tc>
          <w:tcPr>
            <w:tcW w:w="149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окремих</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власних</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будівель</w:t>
            </w:r>
          </w:p>
        </w:tc>
        <w:tc>
          <w:tcPr>
            <w:tcW w:w="138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всього</w:t>
            </w:r>
          </w:p>
        </w:tc>
        <w:tc>
          <w:tcPr>
            <w:tcW w:w="166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Кількість</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 що</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опалюються</w:t>
            </w:r>
          </w:p>
        </w:tc>
        <w:tc>
          <w:tcPr>
            <w:tcW w:w="1367"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Площа</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всього </w:t>
            </w:r>
            <w:r>
              <w:rPr>
                <w:rFonts w:eastAsia="Century Gothic" w:cs="Century Gothic" w:ascii="Times New Roman" w:hAnsi="Times New Roman"/>
                <w:b/>
                <w:bCs/>
                <w:sz w:val="26"/>
                <w:szCs w:val="26"/>
                <w:shd w:fill="auto" w:val="clear"/>
              </w:rPr>
              <w:t>м</w:t>
            </w:r>
            <w:r>
              <w:rPr>
                <w:rFonts w:eastAsia="Times New Roman" w:cs="Times New Roman" w:ascii="Times New Roman" w:hAnsi="Times New Roman"/>
                <w:b/>
                <w:bCs/>
                <w:sz w:val="26"/>
                <w:szCs w:val="26"/>
                <w:shd w:fill="auto" w:val="clear"/>
              </w:rPr>
              <w:t>²</w:t>
            </w:r>
          </w:p>
        </w:tc>
        <w:tc>
          <w:tcPr>
            <w:tcW w:w="2036"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Площа</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будівель </w:t>
            </w:r>
            <w:r>
              <w:rPr>
                <w:rFonts w:eastAsia="Century Gothic" w:cs="Century Gothic" w:ascii="Times New Roman" w:hAnsi="Times New Roman"/>
                <w:b/>
                <w:bCs/>
                <w:sz w:val="26"/>
                <w:szCs w:val="26"/>
                <w:shd w:fill="auto" w:val="clear"/>
              </w:rPr>
              <w:t>займаних</w:t>
            </w:r>
            <w:r>
              <w:rPr>
                <w:rFonts w:eastAsia="Century Gothic" w:cs="Century Gothic" w:ascii="Times New Roman" w:hAnsi="Times New Roman"/>
                <w:b/>
                <w:bCs/>
                <w:sz w:val="26"/>
                <w:szCs w:val="26"/>
                <w:shd w:fill="auto" w:val="clear"/>
              </w:rPr>
              <w:t>, що</w:t>
            </w:r>
          </w:p>
          <w:p>
            <w:pPr>
              <w:pStyle w:val="Style20"/>
              <w:spacing w:lineRule="auto" w:line="240"/>
              <w:jc w:val="center"/>
              <w:rPr>
                <w:rFonts w:ascii="Times New Roman" w:hAnsi="Times New Roman" w:eastAsia="Century Gothic" w:cs="Century Gothic"/>
                <w:b/>
                <w:bCs/>
                <w:sz w:val="26"/>
                <w:szCs w:val="26"/>
                <w:shd w:fill="auto" w:val="clear"/>
              </w:rPr>
            </w:pPr>
            <w:r>
              <w:rPr>
                <w:rFonts w:eastAsia="Century Gothic" w:cs="Century Gothic" w:ascii="Times New Roman" w:hAnsi="Times New Roman"/>
                <w:b/>
                <w:bCs/>
                <w:sz w:val="26"/>
                <w:szCs w:val="26"/>
                <w:shd w:fill="auto" w:val="clear"/>
              </w:rPr>
              <w:t xml:space="preserve">опалюються </w:t>
            </w:r>
            <w:r>
              <w:rPr>
                <w:rFonts w:eastAsia="Century Gothic" w:cs="Century Gothic" w:ascii="Times New Roman" w:hAnsi="Times New Roman"/>
                <w:b/>
                <w:bCs/>
                <w:sz w:val="26"/>
                <w:szCs w:val="26"/>
                <w:shd w:fill="auto" w:val="clear"/>
              </w:rPr>
              <w:t>м</w:t>
            </w:r>
            <w:r>
              <w:rPr>
                <w:rFonts w:eastAsia="Times New Roman" w:cs="Times New Roman" w:ascii="Times New Roman" w:hAnsi="Times New Roman"/>
                <w:b/>
                <w:bCs/>
                <w:sz w:val="26"/>
                <w:szCs w:val="26"/>
                <w:shd w:fill="auto" w:val="clear"/>
              </w:rPr>
              <w:t>²</w:t>
            </w:r>
          </w:p>
        </w:tc>
      </w:tr>
      <w:tr>
        <w:trPr/>
        <w:tc>
          <w:tcPr>
            <w:tcW w:w="141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49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38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66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8</w:t>
            </w:r>
          </w:p>
        </w:tc>
        <w:tc>
          <w:tcPr>
            <w:tcW w:w="1367"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47675,9</w:t>
            </w:r>
          </w:p>
        </w:tc>
        <w:tc>
          <w:tcPr>
            <w:tcW w:w="2036"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6"/>
                <w:szCs w:val="26"/>
                <w:shd w:fill="auto" w:val="clear"/>
              </w:rPr>
            </w:pPr>
            <w:r>
              <w:rPr>
                <w:rFonts w:eastAsia="Century Gothic" w:cs="Century Gothic" w:ascii="Times New Roman" w:hAnsi="Times New Roman"/>
                <w:sz w:val="26"/>
                <w:szCs w:val="26"/>
                <w:shd w:fill="auto" w:val="clear"/>
              </w:rPr>
              <w:t>43733,7</w:t>
            </w:r>
          </w:p>
        </w:tc>
      </w:tr>
    </w:tbl>
    <w:p>
      <w:pPr>
        <w:pStyle w:val="Normal"/>
        <w:ind w:firstLine="567"/>
        <w:jc w:val="end"/>
        <w:rPr>
          <w:rFonts w:ascii="Times New Roman" w:hAnsi="Times New Roman"/>
          <w:sz w:val="26"/>
          <w:szCs w:val="26"/>
        </w:rPr>
      </w:pPr>
      <w:r>
        <w:rPr/>
      </w:r>
    </w:p>
    <w:p>
      <w:pPr>
        <w:pStyle w:val="Normal"/>
        <w:spacing w:before="114" w:after="114"/>
        <w:jc w:val="center"/>
        <w:rPr/>
      </w:pPr>
      <w:r>
        <w:rPr>
          <w:rStyle w:val="Style12"/>
          <w:rFonts w:ascii="Times New Roman" w:hAnsi="Times New Roman"/>
          <w:b/>
          <w:bCs/>
          <w:sz w:val="28"/>
          <w:szCs w:val="28"/>
        </w:rPr>
        <w:t>Перелік дошкільних навчальних закладів</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b/>
                <w:bCs/>
                <w:sz w:val="28"/>
                <w:szCs w:val="28"/>
              </w:rPr>
              <w:t xml:space="preserve">Назва </w:t>
            </w:r>
            <w:r>
              <w:rPr>
                <w:rFonts w:eastAsia="Century Gothic" w:cs="Century Gothic" w:ascii="Times New Roman" w:hAnsi="Times New Roman"/>
                <w:b/>
                <w:bCs/>
                <w:sz w:val="28"/>
                <w:szCs w:val="28"/>
              </w:rPr>
              <w:t xml:space="preserve">дошкільного навчального </w:t>
            </w:r>
            <w:r>
              <w:rPr>
                <w:rFonts w:eastAsia="Century Gothic" w:cs="Century Gothic" w:ascii="Times New Roman" w:hAnsi="Times New Roman"/>
                <w:b/>
                <w:bCs/>
                <w:sz w:val="28"/>
                <w:szCs w:val="28"/>
              </w:rPr>
              <w:t xml:space="preserve">закладу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1.</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2">
              <w:r>
                <w:rPr>
                  <w:rStyle w:val="Hyperlink"/>
                  <w:rFonts w:ascii="Times New Roman" w:hAnsi="Times New Roman"/>
                  <w:b w:val="false"/>
                  <w:bCs w:val="false"/>
                  <w:color w:val="000000"/>
                  <w:sz w:val="28"/>
                  <w:szCs w:val="28"/>
                  <w:u w:val="none"/>
                </w:rPr>
                <w:t>Комунальний заклад дошкільної освіти №2 "Дивосвіт"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2.</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3">
              <w:r>
                <w:rPr>
                  <w:rStyle w:val="Hyperlink"/>
                  <w:rFonts w:ascii="Times New Roman" w:hAnsi="Times New Roman"/>
                  <w:b w:val="false"/>
                  <w:bCs w:val="false"/>
                  <w:color w:val="000000"/>
                  <w:sz w:val="28"/>
                  <w:szCs w:val="28"/>
                  <w:u w:val="none"/>
                </w:rPr>
                <w:t>Комунальний спеціальний заклад дошкільної освіти №5 "Червона Шапочка"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3</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4">
              <w:r>
                <w:rPr>
                  <w:rStyle w:val="Hyperlink"/>
                  <w:rFonts w:ascii="Times New Roman" w:hAnsi="Times New Roman"/>
                  <w:b w:val="false"/>
                  <w:bCs w:val="false"/>
                  <w:color w:val="000000"/>
                  <w:sz w:val="28"/>
                  <w:szCs w:val="28"/>
                  <w:u w:val="none"/>
                </w:rPr>
                <w:t>Комунальний заклад дошкільної освіти №11 "Сонечко"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4</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5">
              <w:r>
                <w:rPr>
                  <w:rStyle w:val="Hyperlink"/>
                  <w:rFonts w:ascii="Times New Roman" w:hAnsi="Times New Roman"/>
                  <w:b w:val="false"/>
                  <w:bCs w:val="false"/>
                  <w:color w:val="000000"/>
                  <w:sz w:val="28"/>
                  <w:szCs w:val="28"/>
                  <w:u w:val="none"/>
                </w:rPr>
                <w:t>Комунальний заклад дошкільної освіти №13 "Малятко"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5</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rFonts w:ascii="Times New Roman" w:hAnsi="Times New Roman" w:eastAsia="Century Gothic" w:cs="Century Gothic"/>
                <w:sz w:val="24"/>
                <w:szCs w:val="24"/>
              </w:rPr>
            </w:pPr>
            <w:hyperlink r:id="rId16">
              <w:r>
                <w:rPr>
                  <w:rStyle w:val="Hyperlink"/>
                  <w:rFonts w:eastAsia="Century Gothic" w:cs="Century Gothic" w:ascii="Times New Roman" w:hAnsi="Times New Roman"/>
                  <w:b w:val="false"/>
                  <w:bCs w:val="false"/>
                  <w:color w:val="000000"/>
                  <w:sz w:val="28"/>
                  <w:szCs w:val="28"/>
                  <w:u w:val="none"/>
                </w:rPr>
                <w:t>Комунальний заклад дошкільної освіти №16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6.</w:t>
            </w:r>
          </w:p>
        </w:tc>
        <w:tc>
          <w:tcPr>
            <w:tcW w:w="8585" w:type="dxa"/>
            <w:tcBorders>
              <w:start w:val="single" w:sz="4" w:space="0" w:color="000000"/>
              <w:bottom w:val="single" w:sz="4" w:space="0" w:color="000000"/>
              <w:end w:val="single" w:sz="4" w:space="0" w:color="000000"/>
            </w:tcBorders>
          </w:tcPr>
          <w:p>
            <w:pPr>
              <w:pStyle w:val="Style20"/>
              <w:jc w:val="both"/>
              <w:rPr>
                <w:rFonts w:ascii="Times New Roman" w:hAnsi="Times New Roman" w:eastAsia="Century Gothic" w:cs="Century Gothic"/>
                <w:sz w:val="24"/>
                <w:szCs w:val="24"/>
              </w:rPr>
            </w:pPr>
            <w:hyperlink r:id="rId17">
              <w:r>
                <w:rPr>
                  <w:rStyle w:val="Hyperlink"/>
                  <w:rFonts w:eastAsia="Century Gothic" w:cs="Century Gothic" w:ascii="Times New Roman" w:hAnsi="Times New Roman"/>
                  <w:b w:val="false"/>
                  <w:bCs w:val="false"/>
                  <w:color w:val="000000"/>
                  <w:sz w:val="28"/>
                  <w:szCs w:val="28"/>
                  <w:u w:val="none"/>
                </w:rPr>
                <w:t>Комунальний заклад дошкільної освіти №21 "Казка" (ясла-садок) Покровської міської ради Дніпропетровської області</w:t>
              </w:r>
            </w:hyperlink>
          </w:p>
        </w:tc>
      </w:tr>
      <w:tr>
        <w:trPr/>
        <w:tc>
          <w:tcPr>
            <w:tcW w:w="770"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8"/>
                <w:szCs w:val="28"/>
              </w:rPr>
            </w:pPr>
            <w:r>
              <w:rPr>
                <w:rFonts w:eastAsia="Century Gothic" w:cs="Century Gothic" w:ascii="Times New Roman" w:hAnsi="Times New Roman"/>
                <w:b w:val="false"/>
                <w:bCs w:val="false"/>
                <w:sz w:val="28"/>
                <w:szCs w:val="28"/>
              </w:rPr>
              <w:t>7</w:t>
            </w:r>
            <w:r>
              <w:rPr>
                <w:rFonts w:eastAsia="Century Gothic" w:cs="Century Gothic" w:ascii="Times New Roman" w:hAnsi="Times New Roman"/>
                <w:b w:val="false"/>
                <w:bCs w:val="false"/>
                <w:sz w:val="28"/>
                <w:szCs w:val="28"/>
              </w:rPr>
              <w:t>.</w:t>
            </w:r>
          </w:p>
        </w:tc>
        <w:tc>
          <w:tcPr>
            <w:tcW w:w="8585" w:type="dxa"/>
            <w:tcBorders>
              <w:start w:val="single" w:sz="4" w:space="0" w:color="000000"/>
              <w:bottom w:val="single" w:sz="4" w:space="0" w:color="000000"/>
              <w:end w:val="single" w:sz="4" w:space="0" w:color="000000"/>
            </w:tcBorders>
          </w:tcPr>
          <w:p>
            <w:pPr>
              <w:pStyle w:val="Style20"/>
              <w:jc w:val="both"/>
              <w:rPr>
                <w:rFonts w:ascii="Times New Roman" w:hAnsi="Times New Roman" w:eastAsia="Century Gothic" w:cs="Century Gothic"/>
                <w:sz w:val="24"/>
                <w:szCs w:val="24"/>
              </w:rPr>
            </w:pPr>
            <w:hyperlink r:id="rId18">
              <w:r>
                <w:rPr>
                  <w:rStyle w:val="Hyperlink"/>
                  <w:rFonts w:eastAsia="Century Gothic" w:cs="Century Gothic" w:ascii="Times New Roman" w:hAnsi="Times New Roman"/>
                  <w:b w:val="false"/>
                  <w:bCs w:val="false"/>
                  <w:color w:val="000000"/>
                  <w:sz w:val="28"/>
                  <w:szCs w:val="28"/>
                  <w:u w:val="none"/>
                </w:rPr>
                <w:t>Комунальний заклад дошкільної освіти №22 (ясла-садок) Покровської міської ради Дніпропетровської області</w:t>
              </w:r>
            </w:hyperlink>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57" w:after="57"/>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b/>
          <w:bCs/>
          <w:color w:val="000000"/>
          <w:kern w:val="0"/>
          <w:sz w:val="28"/>
          <w:szCs w:val="28"/>
          <w:lang w:eastAsia="uk-UA"/>
        </w:rPr>
        <w:t xml:space="preserve">Кількість та площа будівель </w:t>
      </w:r>
      <w:r>
        <w:rPr>
          <w:rFonts w:eastAsia="Century Gothic" w:cs="Century Gothic" w:ascii="Times New Roman" w:hAnsi="Times New Roman"/>
          <w:b/>
          <w:bCs/>
          <w:color w:val="000000"/>
          <w:kern w:val="0"/>
          <w:sz w:val="28"/>
          <w:szCs w:val="28"/>
          <w:lang w:eastAsia="uk-UA"/>
        </w:rPr>
        <w:t>дошкільних навчальних</w:t>
      </w:r>
      <w:r>
        <w:rPr>
          <w:rFonts w:eastAsia="Century Gothic" w:cs="Century Gothic" w:ascii="Times New Roman" w:hAnsi="Times New Roman"/>
          <w:b/>
          <w:bCs/>
          <w:color w:val="000000"/>
          <w:kern w:val="0"/>
          <w:sz w:val="28"/>
          <w:szCs w:val="28"/>
          <w:lang w:eastAsia="uk-UA"/>
        </w:rPr>
        <w:t xml:space="preserve"> </w:t>
      </w:r>
      <w:r>
        <w:rPr>
          <w:rStyle w:val="Style12"/>
          <w:rFonts w:eastAsia="Century Gothic" w:cs="Century Gothic" w:ascii="Times New Roman" w:hAnsi="Times New Roman"/>
          <w:b/>
          <w:bCs/>
          <w:color w:val="000000"/>
          <w:kern w:val="0"/>
          <w:sz w:val="28"/>
          <w:szCs w:val="28"/>
          <w:lang w:eastAsia="uk-UA"/>
        </w:rPr>
        <w:t xml:space="preserve">закладів </w:t>
      </w:r>
    </w:p>
    <w:tbl>
      <w:tblPr>
        <w:tblW w:w="5000" w:type="pct"/>
        <w:jc w:val="start"/>
        <w:tblInd w:w="-5" w:type="dxa"/>
        <w:tblLayout w:type="fixed"/>
        <w:tblCellMar>
          <w:top w:w="55" w:type="dxa"/>
          <w:start w:w="55" w:type="dxa"/>
          <w:bottom w:w="55" w:type="dxa"/>
          <w:end w:w="55" w:type="dxa"/>
        </w:tblCellMar>
      </w:tblPr>
      <w:tblGrid>
        <w:gridCol w:w="1363"/>
        <w:gridCol w:w="1500"/>
        <w:gridCol w:w="1428"/>
        <w:gridCol w:w="1665"/>
        <w:gridCol w:w="1368"/>
        <w:gridCol w:w="2031"/>
      </w:tblGrid>
      <w:tr>
        <w:trPr/>
        <w:tc>
          <w:tcPr>
            <w:tcW w:w="1363"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закладів</w:t>
            </w:r>
          </w:p>
        </w:tc>
        <w:tc>
          <w:tcPr>
            <w:tcW w:w="150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окремих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власних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будівель</w:t>
            </w:r>
          </w:p>
        </w:tc>
        <w:tc>
          <w:tcPr>
            <w:tcW w:w="142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всього</w:t>
            </w:r>
          </w:p>
        </w:tc>
        <w:tc>
          <w:tcPr>
            <w:tcW w:w="1665"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опалюються</w:t>
            </w:r>
          </w:p>
        </w:tc>
        <w:tc>
          <w:tcPr>
            <w:tcW w:w="136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всього </w:t>
            </w:r>
            <w:r>
              <w:rPr>
                <w:rFonts w:eastAsia="Century Gothic" w:cs="Century Gothic" w:ascii="Times New Roman" w:hAnsi="Times New Roman"/>
                <w:b/>
                <w:bCs/>
                <w:sz w:val="28"/>
                <w:szCs w:val="28"/>
                <w:shd w:fill="auto" w:val="clear"/>
              </w:rPr>
              <w:t>м</w:t>
            </w:r>
            <w:r>
              <w:rPr>
                <w:rFonts w:eastAsia="Times New Roman" w:cs="Times New Roman" w:ascii="Times New Roman" w:hAnsi="Times New Roman"/>
                <w:b/>
                <w:bCs/>
                <w:sz w:val="28"/>
                <w:szCs w:val="28"/>
                <w:shd w:fill="auto" w:val="clear"/>
              </w:rPr>
              <w:t>²</w:t>
            </w:r>
          </w:p>
        </w:tc>
        <w:tc>
          <w:tcPr>
            <w:tcW w:w="2031"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Times New Roman" w:cs="Times New Roman"/>
                <w:b/>
                <w:bCs/>
                <w:sz w:val="28"/>
                <w:szCs w:val="28"/>
                <w:shd w:fill="auto" w:val="clear"/>
              </w:rPr>
            </w:pPr>
            <w:r>
              <w:rPr>
                <w:rFonts w:eastAsia="Times New Roman" w:cs="Times New Roman" w:ascii="Times New Roman" w:hAnsi="Times New Roman"/>
                <w:b/>
                <w:bCs/>
                <w:sz w:val="28"/>
                <w:szCs w:val="28"/>
                <w:shd w:fill="auto" w:val="clear"/>
              </w:rPr>
              <w:t>опалюються м²</w:t>
            </w:r>
          </w:p>
        </w:tc>
      </w:tr>
      <w:tr>
        <w:trPr/>
        <w:tc>
          <w:tcPr>
            <w:tcW w:w="1363"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7</w:t>
            </w:r>
          </w:p>
        </w:tc>
        <w:tc>
          <w:tcPr>
            <w:tcW w:w="150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w:t>
            </w:r>
          </w:p>
        </w:tc>
        <w:tc>
          <w:tcPr>
            <w:tcW w:w="142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12</w:t>
            </w:r>
          </w:p>
        </w:tc>
        <w:tc>
          <w:tcPr>
            <w:tcW w:w="1665"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12</w:t>
            </w:r>
          </w:p>
        </w:tc>
        <w:tc>
          <w:tcPr>
            <w:tcW w:w="136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23963</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5</w:t>
            </w:r>
          </w:p>
        </w:tc>
        <w:tc>
          <w:tcPr>
            <w:tcW w:w="2031"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23853</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r>
    </w:tbl>
    <w:p>
      <w:pPr>
        <w:pStyle w:val="Normal"/>
        <w:ind w:firstLine="567"/>
        <w:jc w:val="end"/>
        <w:rPr>
          <w:rFonts w:ascii="Times New Roman" w:hAnsi="Times New Roman"/>
          <w:sz w:val="26"/>
          <w:szCs w:val="26"/>
        </w:rPr>
      </w:pPr>
      <w:r>
        <w:rPr/>
      </w:r>
    </w:p>
    <w:p>
      <w:pPr>
        <w:pStyle w:val="Normal"/>
        <w:spacing w:before="114" w:after="114"/>
        <w:jc w:val="center"/>
        <w:rPr>
          <w:rStyle w:val="Style12"/>
          <w:rFonts w:ascii="Times New Roman" w:hAnsi="Times New Roman"/>
          <w:b/>
          <w:bCs/>
          <w:sz w:val="28"/>
          <w:szCs w:val="28"/>
        </w:rPr>
      </w:pPr>
      <w:r>
        <w:rPr/>
      </w:r>
    </w:p>
    <w:p>
      <w:pPr>
        <w:pStyle w:val="Normal"/>
        <w:spacing w:before="114" w:after="114"/>
        <w:jc w:val="center"/>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позашкільної освіти</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u w:val="none"/>
              </w:rPr>
            </w:pPr>
            <w:r>
              <w:rPr>
                <w:rFonts w:eastAsia="Century Gothic" w:cs="Century Gothic" w:ascii="Times New Roman" w:hAnsi="Times New Roman"/>
                <w:b/>
                <w:bCs/>
                <w:sz w:val="28"/>
                <w:szCs w:val="28"/>
                <w:u w:val="none"/>
              </w:rPr>
              <w:t xml:space="preserve">Назва закладу </w:t>
            </w:r>
            <w:r>
              <w:rPr>
                <w:rFonts w:eastAsia="Century Gothic" w:cs="Century Gothic" w:ascii="Times New Roman" w:hAnsi="Times New Roman"/>
                <w:b/>
                <w:bCs/>
                <w:sz w:val="28"/>
                <w:szCs w:val="28"/>
                <w:u w:val="none"/>
              </w:rPr>
              <w:t>позашкільної освіти</w:t>
            </w:r>
            <w:r>
              <w:rPr>
                <w:rFonts w:eastAsia="Century Gothic" w:cs="Century Gothic" w:ascii="Times New Roman" w:hAnsi="Times New Roman"/>
                <w:b/>
                <w:bCs/>
                <w:sz w:val="28"/>
                <w:szCs w:val="28"/>
                <w:u w:val="none"/>
              </w:rPr>
              <w:t xml:space="preserve">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u w:val="none"/>
              </w:rPr>
            </w:pPr>
            <w:r>
              <w:rPr>
                <w:rFonts w:eastAsia="Century Gothic" w:cs="Century Gothic" w:ascii="Times New Roman" w:hAnsi="Times New Roman"/>
                <w:sz w:val="28"/>
                <w:szCs w:val="28"/>
                <w:u w:val="none"/>
              </w:rPr>
              <w:t>1.</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19">
              <w:r>
                <w:rPr>
                  <w:rStyle w:val="Hyperlink"/>
                  <w:rFonts w:ascii="Times New Roman" w:hAnsi="Times New Roman"/>
                  <w:color w:val="000000"/>
                  <w:sz w:val="28"/>
                  <w:szCs w:val="28"/>
                  <w:u w:val="none"/>
                </w:rPr>
                <w:t xml:space="preserve">Комунальний заклад позашкільної освіти «Будинок творчості дітей та юнацтва» Покровської міської ради Дніпропетровської </w:t>
              </w:r>
              <w:r>
                <w:rPr>
                  <w:rStyle w:val="Hyperlink"/>
                  <w:rFonts w:ascii="Times New Roman" w:hAnsi="Times New Roman"/>
                  <w:color w:val="000000"/>
                  <w:sz w:val="28"/>
                  <w:szCs w:val="28"/>
                  <w:u w:val="none"/>
                </w:rPr>
                <w:t>області</w:t>
              </w:r>
              <w:r>
                <w:rPr>
                  <w:rStyle w:val="Hyperlink"/>
                  <w:rFonts w:ascii="Times New Roman" w:hAnsi="Times New Roman"/>
                  <w:color w:val="000000"/>
                  <w:sz w:val="28"/>
                  <w:szCs w:val="28"/>
                  <w:u w:val="none"/>
                </w:rPr>
                <w:t>»</w:t>
              </w:r>
            </w:hyperlink>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w:t>
            </w:r>
          </w:p>
        </w:tc>
        <w:tc>
          <w:tcPr>
            <w:tcW w:w="8585" w:type="dxa"/>
            <w:tcBorders>
              <w:start w:val="single" w:sz="4" w:space="0" w:color="000000"/>
              <w:bottom w:val="single" w:sz="4" w:space="0" w:color="000000"/>
              <w:end w:val="single" w:sz="4" w:space="0" w:color="000000"/>
            </w:tcBorders>
          </w:tcPr>
          <w:p>
            <w:pPr>
              <w:pStyle w:val="Style20"/>
              <w:spacing w:lineRule="auto" w:line="240"/>
              <w:jc w:val="both"/>
              <w:rPr/>
            </w:pPr>
            <w:hyperlink r:id="rId20">
              <w:r>
                <w:rPr>
                  <w:rStyle w:val="Hyperlink"/>
                  <w:rFonts w:ascii="Times New Roman" w:hAnsi="Times New Roman"/>
                  <w:color w:val="000000"/>
                  <w:sz w:val="28"/>
                  <w:szCs w:val="28"/>
                  <w:u w:val="none"/>
                </w:rPr>
                <w:t>Комунальний позашкільний навчальний заклад «Дитячо-юнацька спортивна школа ім.Д.Дідіка м.Покров Дніпропетровської області»</w:t>
              </w:r>
            </w:hyperlink>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позашкільної освіти</w:t>
      </w:r>
    </w:p>
    <w:tbl>
      <w:tblPr>
        <w:tblW w:w="5000" w:type="pct"/>
        <w:jc w:val="start"/>
        <w:tblInd w:w="-5" w:type="dxa"/>
        <w:tblLayout w:type="fixed"/>
        <w:tblCellMar>
          <w:top w:w="55" w:type="dxa"/>
          <w:start w:w="55" w:type="dxa"/>
          <w:bottom w:w="55" w:type="dxa"/>
          <w:end w:w="55" w:type="dxa"/>
        </w:tblCellMar>
      </w:tblPr>
      <w:tblGrid>
        <w:gridCol w:w="1378"/>
        <w:gridCol w:w="1543"/>
        <w:gridCol w:w="1370"/>
        <w:gridCol w:w="1674"/>
        <w:gridCol w:w="1371"/>
        <w:gridCol w:w="2019"/>
      </w:tblGrid>
      <w:tr>
        <w:trPr/>
        <w:tc>
          <w:tcPr>
            <w:tcW w:w="137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закладів</w:t>
            </w:r>
          </w:p>
        </w:tc>
        <w:tc>
          <w:tcPr>
            <w:tcW w:w="1543"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окремих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власних</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будівель</w:t>
            </w:r>
          </w:p>
        </w:tc>
        <w:tc>
          <w:tcPr>
            <w:tcW w:w="13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всього</w:t>
            </w:r>
          </w:p>
        </w:tc>
        <w:tc>
          <w:tcPr>
            <w:tcW w:w="167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Кількість</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опалюються</w:t>
            </w:r>
          </w:p>
        </w:tc>
        <w:tc>
          <w:tcPr>
            <w:tcW w:w="137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всього </w:t>
            </w:r>
            <w:r>
              <w:rPr>
                <w:rFonts w:eastAsia="Century Gothic" w:cs="Century Gothic" w:ascii="Times New Roman" w:hAnsi="Times New Roman"/>
                <w:b/>
                <w:bCs/>
                <w:sz w:val="28"/>
                <w:szCs w:val="28"/>
                <w:shd w:fill="auto" w:val="clear"/>
              </w:rPr>
              <w:t>м</w:t>
            </w:r>
            <w:r>
              <w:rPr>
                <w:rFonts w:eastAsia="Times New Roman" w:cs="Times New Roman" w:ascii="Times New Roman" w:hAnsi="Times New Roman"/>
                <w:b/>
                <w:bCs/>
                <w:sz w:val="28"/>
                <w:szCs w:val="28"/>
                <w:shd w:fill="auto" w:val="clear"/>
              </w:rPr>
              <w:t>²</w:t>
            </w:r>
          </w:p>
        </w:tc>
        <w:tc>
          <w:tcPr>
            <w:tcW w:w="2019"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Площа</w:t>
            </w:r>
          </w:p>
          <w:p>
            <w:pPr>
              <w:pStyle w:val="Style20"/>
              <w:spacing w:lineRule="auto" w:line="240"/>
              <w:jc w:val="center"/>
              <w:rPr>
                <w:rFonts w:ascii="Times New Roman" w:hAnsi="Times New Roman" w:eastAsia="Century Gothic" w:cs="Century Gothic"/>
                <w:b/>
                <w:bCs/>
                <w:sz w:val="28"/>
                <w:szCs w:val="28"/>
                <w:shd w:fill="auto" w:val="clear"/>
              </w:rPr>
            </w:pPr>
            <w:r>
              <w:rPr>
                <w:rFonts w:eastAsia="Century Gothic" w:cs="Century Gothic" w:ascii="Times New Roman" w:hAnsi="Times New Roman"/>
                <w:b/>
                <w:bCs/>
                <w:sz w:val="28"/>
                <w:szCs w:val="28"/>
                <w:shd w:fill="auto" w:val="clear"/>
              </w:rPr>
              <w:t xml:space="preserve">будівель </w:t>
            </w:r>
            <w:r>
              <w:rPr>
                <w:rFonts w:eastAsia="Century Gothic" w:cs="Century Gothic" w:ascii="Times New Roman" w:hAnsi="Times New Roman"/>
                <w:b/>
                <w:bCs/>
                <w:sz w:val="28"/>
                <w:szCs w:val="28"/>
                <w:shd w:fill="auto" w:val="clear"/>
              </w:rPr>
              <w:t>займаних</w:t>
            </w:r>
            <w:r>
              <w:rPr>
                <w:rFonts w:eastAsia="Century Gothic" w:cs="Century Gothic" w:ascii="Times New Roman" w:hAnsi="Times New Roman"/>
                <w:b/>
                <w:bCs/>
                <w:sz w:val="28"/>
                <w:szCs w:val="28"/>
                <w:shd w:fill="auto" w:val="clear"/>
              </w:rPr>
              <w:t>, що</w:t>
            </w:r>
          </w:p>
          <w:p>
            <w:pPr>
              <w:pStyle w:val="Style20"/>
              <w:spacing w:lineRule="auto" w:line="240"/>
              <w:jc w:val="center"/>
              <w:rPr>
                <w:rFonts w:ascii="Times New Roman" w:hAnsi="Times New Roman" w:eastAsia="Times New Roman" w:cs="Times New Roman"/>
                <w:b/>
                <w:bCs/>
                <w:sz w:val="28"/>
                <w:szCs w:val="28"/>
                <w:shd w:fill="auto" w:val="clear"/>
              </w:rPr>
            </w:pPr>
            <w:r>
              <w:rPr>
                <w:rFonts w:eastAsia="Times New Roman" w:cs="Times New Roman" w:ascii="Times New Roman" w:hAnsi="Times New Roman"/>
                <w:b/>
                <w:bCs/>
                <w:sz w:val="28"/>
                <w:szCs w:val="28"/>
                <w:shd w:fill="auto" w:val="clear"/>
              </w:rPr>
              <w:t>опалюються м²</w:t>
            </w:r>
          </w:p>
        </w:tc>
      </w:tr>
      <w:tr>
        <w:trPr/>
        <w:tc>
          <w:tcPr>
            <w:tcW w:w="137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543"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3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67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37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3182</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c>
          <w:tcPr>
            <w:tcW w:w="2019"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3181</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О</w:t>
      </w:r>
      <w:r>
        <w:rPr>
          <w:rFonts w:eastAsia="Century Gothic" w:cs="Century Gothic" w:ascii="Times New Roman" w:hAnsi="Times New Roman"/>
          <w:b/>
          <w:bCs/>
          <w:color w:val="000000"/>
          <w:kern w:val="0"/>
          <w:sz w:val="28"/>
          <w:szCs w:val="28"/>
          <w:lang w:eastAsia="uk-UA"/>
        </w:rPr>
        <w:t>хорон</w:t>
      </w:r>
      <w:r>
        <w:rPr>
          <w:rFonts w:eastAsia="Century Gothic" w:cs="Century Gothic" w:ascii="Times New Roman" w:hAnsi="Times New Roman"/>
          <w:b/>
          <w:bCs/>
          <w:color w:val="000000"/>
          <w:kern w:val="0"/>
          <w:sz w:val="28"/>
          <w:szCs w:val="28"/>
          <w:lang w:eastAsia="uk-UA"/>
        </w:rPr>
        <w:t>а</w:t>
      </w:r>
      <w:r>
        <w:rPr>
          <w:rFonts w:eastAsia="Century Gothic" w:cs="Century Gothic" w:ascii="Times New Roman" w:hAnsi="Times New Roman"/>
          <w:b/>
          <w:bCs/>
          <w:color w:val="000000"/>
          <w:kern w:val="0"/>
          <w:sz w:val="28"/>
          <w:szCs w:val="28"/>
          <w:lang w:eastAsia="uk-UA"/>
        </w:rPr>
        <w:t xml:space="preserve"> здоров’я</w:t>
      </w:r>
    </w:p>
    <w:p>
      <w:pPr>
        <w:pStyle w:val="Normal"/>
        <w:spacing w:before="0" w:after="0"/>
        <w:ind w:firstLine="567"/>
        <w:jc w:val="center"/>
        <w:rPr>
          <w:rFonts w:ascii="Times New Roman" w:hAnsi="Times New Roman"/>
          <w:sz w:val="26"/>
          <w:szCs w:val="26"/>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 xml:space="preserve">охорони здоров'я </w:t>
      </w:r>
      <w:r>
        <w:rPr>
          <w:rStyle w:val="Style12"/>
          <w:rFonts w:ascii="Times New Roman" w:hAnsi="Times New Roman"/>
          <w:b/>
          <w:bCs/>
          <w:sz w:val="28"/>
          <w:szCs w:val="28"/>
        </w:rPr>
        <w:t>первинної ланки</w:t>
      </w:r>
    </w:p>
    <w:tbl>
      <w:tblPr>
        <w:tblW w:w="5000" w:type="pct"/>
        <w:jc w:val="start"/>
        <w:tblInd w:w="-5" w:type="dxa"/>
        <w:tblLayout w:type="fixed"/>
        <w:tblCellMar>
          <w:top w:w="55" w:type="dxa"/>
          <w:start w:w="55" w:type="dxa"/>
          <w:bottom w:w="55" w:type="dxa"/>
          <w:end w:w="55" w:type="dxa"/>
        </w:tblCellMar>
      </w:tblPr>
      <w:tblGrid>
        <w:gridCol w:w="1072"/>
        <w:gridCol w:w="8283"/>
      </w:tblGrid>
      <w:tr>
        <w:trPr/>
        <w:tc>
          <w:tcPr>
            <w:tcW w:w="107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r>
              <w:rPr>
                <w:rFonts w:eastAsia="Century Gothic" w:cs="Century Gothic" w:ascii="Times New Roman" w:hAnsi="Times New Roman"/>
                <w:b/>
                <w:bCs/>
                <w:sz w:val="28"/>
                <w:szCs w:val="28"/>
              </w:rPr>
              <w:t>п/п</w:t>
            </w:r>
          </w:p>
        </w:tc>
        <w:tc>
          <w:tcPr>
            <w:tcW w:w="8283"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4"/>
                <w:szCs w:val="24"/>
                <w:u w:val="none"/>
              </w:rPr>
            </w:pPr>
            <w:r>
              <w:rPr>
                <w:rFonts w:eastAsia="Century Gothic" w:cs="Century Gothic" w:ascii="Times New Roman" w:hAnsi="Times New Roman"/>
                <w:b/>
                <w:bCs/>
                <w:sz w:val="28"/>
                <w:szCs w:val="28"/>
                <w:u w:val="none"/>
              </w:rPr>
              <w:t xml:space="preserve">Назва закладу </w:t>
            </w:r>
            <w:r>
              <w:rPr>
                <w:rStyle w:val="Style12"/>
                <w:rFonts w:eastAsia="Century Gothic" w:cs="Century Gothic" w:ascii="Times New Roman" w:hAnsi="Times New Roman"/>
                <w:b/>
                <w:bCs/>
                <w:sz w:val="28"/>
                <w:szCs w:val="28"/>
                <w:u w:val="none"/>
              </w:rPr>
              <w:t xml:space="preserve">охорони здоров'я </w:t>
            </w:r>
            <w:r>
              <w:rPr>
                <w:rStyle w:val="Style12"/>
                <w:rFonts w:eastAsia="Century Gothic" w:cs="Century Gothic" w:ascii="Times New Roman" w:hAnsi="Times New Roman"/>
                <w:b/>
                <w:bCs/>
                <w:sz w:val="28"/>
                <w:szCs w:val="28"/>
                <w:u w:val="none"/>
              </w:rPr>
              <w:t>первинної ланки</w:t>
            </w:r>
          </w:p>
        </w:tc>
      </w:tr>
      <w:tr>
        <w:trPr/>
        <w:tc>
          <w:tcPr>
            <w:tcW w:w="107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u w:val="none"/>
              </w:rPr>
            </w:pPr>
            <w:r>
              <w:rPr>
                <w:rFonts w:eastAsia="Century Gothic" w:cs="Century Gothic" w:ascii="Times New Roman" w:hAnsi="Times New Roman"/>
                <w:sz w:val="28"/>
                <w:szCs w:val="28"/>
                <w:u w:val="none"/>
              </w:rPr>
              <w:t>1.</w:t>
            </w:r>
          </w:p>
        </w:tc>
        <w:tc>
          <w:tcPr>
            <w:tcW w:w="8283"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u w:val="none"/>
                <w:lang w:eastAsia="uk-UA"/>
              </w:rPr>
              <w:t>Комунальне некомерційне підприємство «Центр первинної медико-санітарної допомоги Покровської міської ради Дніпропетровської області»</w:t>
            </w:r>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Комунальне некомерційне підприємство «Центр первинної медико-санітарної допомоги Покровської міської ради Дніпропетровської області» (далі – Центр) відноситься до самостійних амбулаторно-поліклінічних закладів, надає первинну медичну допомогу мешканцям територіальної громади згідно укладеного договору з НСЗУ про медичне обслуговування населення за програмою медичних гарантій. Фінансування Центру проводиться за рахунок коштів НСЗУ та місцевого бюджету.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 напрямком роботи Центру є реалізація державної політики у сфері охорони здоров’я, а саме, проведення на території Покровської міської територіальної громади заходів, спрямованих на забезпечення населення доступною, своєчасною, якісною та ефективною первинною медико-санітарною допомогою в умовах подальшого впровадження реформи первинної медичної допомоги.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В структурі Центру 6 амбулаторій загальної практики сімейної медицини, з них 4 амбулаторій – на території міста, 2 амбулаторії – с.Шолохове та сел.Чортомлик та 1 фельдшерський пункт — с.Миронівка. Біля кожної амбулаторії в безпосередній близькості розташовані захисні споруди.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 xml:space="preserve">охорони здоров'я </w:t>
      </w:r>
    </w:p>
    <w:p>
      <w:pPr>
        <w:pStyle w:val="Normal"/>
        <w:spacing w:before="57" w:after="57"/>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первинної ланки</w:t>
      </w:r>
    </w:p>
    <w:tbl>
      <w:tblPr>
        <w:tblW w:w="5000" w:type="pct"/>
        <w:jc w:val="start"/>
        <w:tblInd w:w="-5" w:type="dxa"/>
        <w:tblLayout w:type="fixed"/>
        <w:tblCellMar>
          <w:top w:w="55" w:type="dxa"/>
          <w:start w:w="55" w:type="dxa"/>
          <w:bottom w:w="55" w:type="dxa"/>
          <w:end w:w="55" w:type="dxa"/>
        </w:tblCellMar>
      </w:tblPr>
      <w:tblGrid>
        <w:gridCol w:w="1321"/>
        <w:gridCol w:w="1542"/>
        <w:gridCol w:w="1428"/>
        <w:gridCol w:w="1655"/>
        <w:gridCol w:w="1366"/>
        <w:gridCol w:w="2043"/>
      </w:tblGrid>
      <w:tr>
        <w:trPr/>
        <w:tc>
          <w:tcPr>
            <w:tcW w:w="132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закладів</w:t>
            </w:r>
          </w:p>
        </w:tc>
        <w:tc>
          <w:tcPr>
            <w:tcW w:w="154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окремих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власних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будівель</w:t>
            </w:r>
          </w:p>
        </w:tc>
        <w:tc>
          <w:tcPr>
            <w:tcW w:w="142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всього</w:t>
            </w:r>
          </w:p>
        </w:tc>
        <w:tc>
          <w:tcPr>
            <w:tcW w:w="1655"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опалюються</w:t>
            </w:r>
          </w:p>
        </w:tc>
        <w:tc>
          <w:tcPr>
            <w:tcW w:w="136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всього </w:t>
            </w:r>
            <w:r>
              <w:rPr>
                <w:rFonts w:eastAsia="Century Gothic" w:cs="Century Gothic" w:ascii="Times New Roman" w:hAnsi="Times New Roman"/>
                <w:b/>
                <w:bCs/>
                <w:sz w:val="28"/>
                <w:szCs w:val="28"/>
              </w:rPr>
              <w:t>м</w:t>
            </w:r>
            <w:r>
              <w:rPr>
                <w:rFonts w:eastAsia="Times New Roman" w:cs="Times New Roman" w:ascii="Times New Roman" w:hAnsi="Times New Roman"/>
                <w:b/>
                <w:bCs/>
                <w:sz w:val="28"/>
                <w:szCs w:val="28"/>
              </w:rPr>
              <w:t>²</w:t>
            </w:r>
          </w:p>
        </w:tc>
        <w:tc>
          <w:tcPr>
            <w:tcW w:w="2043"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опалюються м²</w:t>
            </w:r>
          </w:p>
        </w:tc>
      </w:tr>
      <w:tr>
        <w:trPr/>
        <w:tc>
          <w:tcPr>
            <w:tcW w:w="132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p>
        </w:tc>
        <w:tc>
          <w:tcPr>
            <w:tcW w:w="154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8</w:t>
            </w:r>
          </w:p>
        </w:tc>
        <w:tc>
          <w:tcPr>
            <w:tcW w:w="142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655"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36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4778</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9</w:t>
            </w:r>
          </w:p>
        </w:tc>
        <w:tc>
          <w:tcPr>
            <w:tcW w:w="2043"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3209</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4</w:t>
            </w:r>
            <w:r>
              <w:rPr>
                <w:rFonts w:eastAsia="Century Gothic" w:cs="Century Gothic" w:ascii="Times New Roman" w:hAnsi="Times New Roman"/>
                <w:sz w:val="28"/>
                <w:szCs w:val="28"/>
                <w:shd w:fill="auto" w:val="clear"/>
              </w:rPr>
              <w:t>2</w:t>
            </w:r>
          </w:p>
        </w:tc>
      </w:tr>
    </w:tbl>
    <w:p>
      <w:pPr>
        <w:pStyle w:val="Normal"/>
        <w:ind w:firstLine="567"/>
        <w:jc w:val="end"/>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57" w:after="57"/>
        <w:jc w:val="center"/>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 xml:space="preserve">охорони здоров'я </w:t>
      </w:r>
      <w:r>
        <w:rPr>
          <w:rStyle w:val="Style12"/>
          <w:rFonts w:ascii="Times New Roman" w:hAnsi="Times New Roman"/>
          <w:b/>
          <w:bCs/>
          <w:sz w:val="28"/>
          <w:szCs w:val="28"/>
        </w:rPr>
        <w:t>вторинної</w:t>
      </w:r>
      <w:r>
        <w:rPr>
          <w:rStyle w:val="Style12"/>
          <w:rFonts w:ascii="Times New Roman" w:hAnsi="Times New Roman"/>
          <w:b/>
          <w:bCs/>
          <w:sz w:val="28"/>
          <w:szCs w:val="28"/>
        </w:rPr>
        <w:t xml:space="preserve"> ланки</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4"/>
                <w:szCs w:val="24"/>
                <w:u w:val="none"/>
              </w:rPr>
            </w:pPr>
            <w:r>
              <w:rPr>
                <w:rFonts w:eastAsia="Century Gothic" w:cs="Century Gothic" w:ascii="Times New Roman" w:hAnsi="Times New Roman"/>
                <w:b/>
                <w:bCs/>
                <w:sz w:val="28"/>
                <w:szCs w:val="28"/>
                <w:u w:val="none"/>
              </w:rPr>
              <w:t xml:space="preserve">Назва закладу </w:t>
            </w:r>
            <w:r>
              <w:rPr>
                <w:rStyle w:val="Style12"/>
                <w:rFonts w:eastAsia="Century Gothic" w:cs="Century Gothic" w:ascii="Times New Roman" w:hAnsi="Times New Roman"/>
                <w:b/>
                <w:bCs/>
                <w:sz w:val="28"/>
                <w:szCs w:val="28"/>
                <w:u w:val="none"/>
              </w:rPr>
              <w:t xml:space="preserve">охорони здоров'я </w:t>
            </w:r>
            <w:r>
              <w:rPr>
                <w:rStyle w:val="Style12"/>
                <w:rFonts w:eastAsia="Century Gothic" w:cs="Century Gothic" w:ascii="Times New Roman" w:hAnsi="Times New Roman"/>
                <w:b/>
                <w:bCs/>
                <w:sz w:val="28"/>
                <w:szCs w:val="28"/>
                <w:u w:val="none"/>
              </w:rPr>
              <w:t>вторинної</w:t>
            </w:r>
            <w:r>
              <w:rPr>
                <w:rStyle w:val="Style12"/>
                <w:rFonts w:eastAsia="Century Gothic" w:cs="Century Gothic" w:ascii="Times New Roman" w:hAnsi="Times New Roman"/>
                <w:b/>
                <w:bCs/>
                <w:sz w:val="28"/>
                <w:szCs w:val="28"/>
                <w:u w:val="none"/>
              </w:rPr>
              <w:t xml:space="preserve"> ланки</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1</w:t>
            </w:r>
            <w:r>
              <w:rPr>
                <w:rFonts w:eastAsia="Century Gothic" w:cs="Century Gothic" w:ascii="Times New Roman" w:hAnsi="Times New Roman"/>
                <w:sz w:val="28"/>
                <w:szCs w:val="28"/>
              </w:rPr>
              <w:t>.</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u w:val="none"/>
                <w:lang w:eastAsia="uk-UA"/>
              </w:rPr>
              <w:t>Комунальне підприємство "Центральна міська лікарня Покровської міської ради Дніпропетровської області"</w:t>
            </w:r>
          </w:p>
        </w:tc>
      </w:tr>
    </w:tbl>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Комунальне підприємство "Центральна міська лікарня Покровської міської ради Дніпропетровської області" є лікувально-профілактичним закладом у Покровській міській територіальній громаді та забезпечує надання консультативно-діагностичної та стаціонарної медичної допомоги населенню громади. Лікарня має статус в спроможній мережі закладів охорони здоров’я – загальний заклад охорони здоров’я.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Фінансове забезпечення закладу здійснюється за рахунок коштів міського бюджету та коштів НСЗУ згідно договору про медичне обслуговування населення за програмою медичних гарантій.</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Комунальне підприємство «ЦМЛ ПМР ДО» має в своїй структурі консультативно-діагностичне відділення та багатопрофільний стаціонар на 145 ліжок, в тому числі: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дитяче відділення,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неврологічне відділення,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терапевтичне відділення з кардіологічними ліжками,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хірургічне відділення,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відділення екстреної (невідкладної) медичної допомоги,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відділення хворих для лікування на короновірусну хворобу (COVID-19),</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відділення анестезіології.</w:t>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 xml:space="preserve">охорони здоров'я </w:t>
      </w:r>
    </w:p>
    <w:p>
      <w:pPr>
        <w:pStyle w:val="Normal"/>
        <w:spacing w:before="57" w:after="57"/>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вторинної</w:t>
      </w:r>
      <w:r>
        <w:rPr>
          <w:rStyle w:val="Style12"/>
          <w:rFonts w:eastAsia="Century Gothic" w:cs="Century Gothic" w:ascii="Times New Roman" w:hAnsi="Times New Roman"/>
          <w:b/>
          <w:bCs/>
          <w:color w:val="000000"/>
          <w:kern w:val="0"/>
          <w:sz w:val="28"/>
          <w:szCs w:val="28"/>
          <w:lang w:eastAsia="uk-UA"/>
        </w:rPr>
        <w:t xml:space="preserve"> ланки</w:t>
      </w:r>
    </w:p>
    <w:tbl>
      <w:tblPr>
        <w:tblW w:w="5000" w:type="pct"/>
        <w:jc w:val="start"/>
        <w:tblInd w:w="-5" w:type="dxa"/>
        <w:tblLayout w:type="fixed"/>
        <w:tblCellMar>
          <w:top w:w="55" w:type="dxa"/>
          <w:start w:w="55" w:type="dxa"/>
          <w:bottom w:w="55" w:type="dxa"/>
          <w:end w:w="55" w:type="dxa"/>
        </w:tblCellMar>
      </w:tblPr>
      <w:tblGrid>
        <w:gridCol w:w="1376"/>
        <w:gridCol w:w="1426"/>
        <w:gridCol w:w="1431"/>
        <w:gridCol w:w="1713"/>
        <w:gridCol w:w="1366"/>
        <w:gridCol w:w="2043"/>
      </w:tblGrid>
      <w:tr>
        <w:trPr/>
        <w:tc>
          <w:tcPr>
            <w:tcW w:w="137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закладів</w:t>
            </w:r>
          </w:p>
        </w:tc>
        <w:tc>
          <w:tcPr>
            <w:tcW w:w="142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окремих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власних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будівель</w:t>
            </w:r>
          </w:p>
        </w:tc>
        <w:tc>
          <w:tcPr>
            <w:tcW w:w="143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всього</w:t>
            </w:r>
          </w:p>
        </w:tc>
        <w:tc>
          <w:tcPr>
            <w:tcW w:w="1713"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опалюються</w:t>
            </w:r>
          </w:p>
        </w:tc>
        <w:tc>
          <w:tcPr>
            <w:tcW w:w="1366"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всього </w:t>
            </w:r>
            <w:r>
              <w:rPr>
                <w:rFonts w:eastAsia="Century Gothic" w:cs="Century Gothic" w:ascii="Times New Roman" w:hAnsi="Times New Roman"/>
                <w:b/>
                <w:bCs/>
                <w:sz w:val="28"/>
                <w:szCs w:val="28"/>
              </w:rPr>
              <w:t>м</w:t>
            </w:r>
            <w:r>
              <w:rPr>
                <w:rFonts w:eastAsia="Times New Roman" w:cs="Times New Roman" w:ascii="Times New Roman" w:hAnsi="Times New Roman"/>
                <w:b/>
                <w:bCs/>
                <w:sz w:val="28"/>
                <w:szCs w:val="28"/>
              </w:rPr>
              <w:t>²</w:t>
            </w:r>
          </w:p>
        </w:tc>
        <w:tc>
          <w:tcPr>
            <w:tcW w:w="2043"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опалюються м²</w:t>
            </w:r>
          </w:p>
        </w:tc>
      </w:tr>
      <w:tr>
        <w:trPr/>
        <w:tc>
          <w:tcPr>
            <w:tcW w:w="137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p>
        </w:tc>
        <w:tc>
          <w:tcPr>
            <w:tcW w:w="142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15</w:t>
            </w:r>
          </w:p>
        </w:tc>
        <w:tc>
          <w:tcPr>
            <w:tcW w:w="143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14</w:t>
            </w:r>
          </w:p>
        </w:tc>
        <w:tc>
          <w:tcPr>
            <w:tcW w:w="1713"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r>
              <w:rPr>
                <w:rFonts w:eastAsia="Century Gothic" w:cs="Century Gothic" w:ascii="Times New Roman" w:hAnsi="Times New Roman"/>
                <w:sz w:val="28"/>
                <w:szCs w:val="28"/>
                <w:shd w:fill="auto" w:val="clear"/>
              </w:rPr>
              <w:t>1</w:t>
            </w:r>
          </w:p>
        </w:tc>
        <w:tc>
          <w:tcPr>
            <w:tcW w:w="1366"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r>
              <w:rPr>
                <w:rFonts w:eastAsia="Century Gothic" w:cs="Century Gothic" w:ascii="Times New Roman" w:hAnsi="Times New Roman"/>
                <w:sz w:val="28"/>
                <w:szCs w:val="28"/>
                <w:shd w:fill="auto" w:val="clear"/>
              </w:rPr>
              <w:t>0710</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8</w:t>
            </w:r>
          </w:p>
        </w:tc>
        <w:tc>
          <w:tcPr>
            <w:tcW w:w="2043"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19775</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r>
    </w:tbl>
    <w:p>
      <w:pPr>
        <w:pStyle w:val="Normal"/>
        <w:rPr>
          <w:rFonts w:ascii="Times New Roman" w:hAnsi="Times New Roman"/>
          <w:b/>
          <w:bCs/>
          <w:sz w:val="28"/>
          <w:szCs w:val="28"/>
        </w:rPr>
      </w:pPr>
      <w:r>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Культура</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w:t>
      </w:r>
      <w:r>
        <w:rPr>
          <w:rFonts w:eastAsia="Century Gothic" w:cs="Century Gothic" w:ascii="Times New Roman" w:hAnsi="Times New Roman"/>
          <w:color w:val="000000"/>
          <w:kern w:val="0"/>
          <w:sz w:val="28"/>
          <w:szCs w:val="28"/>
          <w:lang w:eastAsia="uk-UA"/>
        </w:rPr>
        <w:t>и</w:t>
      </w:r>
      <w:r>
        <w:rPr>
          <w:rFonts w:eastAsia="Century Gothic" w:cs="Century Gothic" w:ascii="Times New Roman" w:hAnsi="Times New Roman"/>
          <w:color w:val="000000"/>
          <w:kern w:val="0"/>
          <w:sz w:val="28"/>
          <w:szCs w:val="28"/>
          <w:lang w:eastAsia="uk-UA"/>
        </w:rPr>
        <w:t xml:space="preserve"> завданням</w:t>
      </w:r>
      <w:r>
        <w:rPr>
          <w:rFonts w:eastAsia="Century Gothic" w:cs="Century Gothic" w:ascii="Times New Roman" w:hAnsi="Times New Roman"/>
          <w:color w:val="000000"/>
          <w:kern w:val="0"/>
          <w:sz w:val="28"/>
          <w:szCs w:val="28"/>
          <w:lang w:eastAsia="uk-UA"/>
        </w:rPr>
        <w:t>и</w:t>
      </w: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закладів культури</w:t>
      </w:r>
      <w:r>
        <w:rPr>
          <w:rFonts w:eastAsia="Century Gothic" w:cs="Century Gothic" w:ascii="Times New Roman" w:hAnsi="Times New Roman"/>
          <w:color w:val="000000"/>
          <w:kern w:val="0"/>
          <w:sz w:val="28"/>
          <w:szCs w:val="28"/>
          <w:lang w:eastAsia="uk-UA"/>
        </w:rPr>
        <w:t xml:space="preserve"> є реалізація державної політики у сфері культури та мистецтва, охорони культурної спадщини, туризму, міжнаціональних та міжконфесійних відносин у Покровській міській територіальній громаді.</w:t>
      </w:r>
    </w:p>
    <w:p>
      <w:pPr>
        <w:pStyle w:val="Normal"/>
        <w:ind w:firstLine="567"/>
        <w:jc w:val="both"/>
        <w:rPr>
          <w:rFonts w:ascii="Times New Roman" w:hAnsi="Times New Roman"/>
          <w:sz w:val="26"/>
          <w:szCs w:val="26"/>
        </w:rPr>
      </w:pPr>
      <w:r>
        <w:rPr/>
      </w:r>
    </w:p>
    <w:p>
      <w:pPr>
        <w:pStyle w:val="Normal"/>
        <w:spacing w:before="114" w:after="114"/>
        <w:jc w:val="center"/>
        <w:rPr/>
      </w:pPr>
      <w:r>
        <w:rPr>
          <w:rStyle w:val="Style12"/>
          <w:rFonts w:ascii="Times New Roman" w:hAnsi="Times New Roman"/>
          <w:b/>
          <w:bCs/>
          <w:sz w:val="28"/>
          <w:szCs w:val="28"/>
        </w:rPr>
        <w:t>П</w:t>
      </w:r>
      <w:r>
        <w:rPr>
          <w:rStyle w:val="Style12"/>
          <w:rFonts w:ascii="Times New Roman" w:hAnsi="Times New Roman"/>
          <w:b/>
          <w:bCs/>
          <w:sz w:val="28"/>
          <w:szCs w:val="28"/>
        </w:rPr>
        <w:t xml:space="preserve">ерелік закладів </w:t>
      </w:r>
      <w:r>
        <w:rPr>
          <w:rStyle w:val="Style12"/>
          <w:rFonts w:ascii="Times New Roman" w:hAnsi="Times New Roman"/>
          <w:b/>
          <w:bCs/>
          <w:sz w:val="28"/>
          <w:szCs w:val="28"/>
        </w:rPr>
        <w:t>культури</w:t>
      </w:r>
    </w:p>
    <w:tbl>
      <w:tblPr>
        <w:tblW w:w="5000" w:type="pct"/>
        <w:jc w:val="start"/>
        <w:tblInd w:w="-5" w:type="dxa"/>
        <w:tblLayout w:type="fixed"/>
        <w:tblCellMar>
          <w:top w:w="55" w:type="dxa"/>
          <w:start w:w="55" w:type="dxa"/>
          <w:bottom w:w="55" w:type="dxa"/>
          <w:end w:w="55" w:type="dxa"/>
        </w:tblCellMar>
      </w:tblPr>
      <w:tblGrid>
        <w:gridCol w:w="770"/>
        <w:gridCol w:w="8585"/>
      </w:tblGrid>
      <w:tr>
        <w:trPr/>
        <w:tc>
          <w:tcPr>
            <w:tcW w:w="770"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п/п</w:t>
            </w:r>
          </w:p>
        </w:tc>
        <w:tc>
          <w:tcPr>
            <w:tcW w:w="8585"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4"/>
                <w:szCs w:val="24"/>
                <w:u w:val="none"/>
              </w:rPr>
            </w:pPr>
            <w:r>
              <w:rPr>
                <w:rFonts w:eastAsia="Century Gothic" w:cs="Century Gothic" w:ascii="Times New Roman" w:hAnsi="Times New Roman"/>
                <w:b/>
                <w:bCs/>
                <w:sz w:val="28"/>
                <w:szCs w:val="28"/>
                <w:u w:val="none"/>
              </w:rPr>
              <w:t xml:space="preserve">Назва закладу </w:t>
            </w:r>
            <w:r>
              <w:rPr>
                <w:rStyle w:val="Style12"/>
                <w:rFonts w:eastAsia="Century Gothic" w:cs="Century Gothic" w:ascii="Times New Roman" w:hAnsi="Times New Roman"/>
                <w:b/>
                <w:bCs/>
                <w:sz w:val="28"/>
                <w:szCs w:val="28"/>
                <w:u w:val="none"/>
              </w:rPr>
              <w:t>культури</w:t>
            </w:r>
            <w:r>
              <w:rPr>
                <w:rFonts w:eastAsia="Century Gothic" w:cs="Century Gothic" w:ascii="Times New Roman" w:hAnsi="Times New Roman"/>
                <w:b/>
                <w:bCs/>
                <w:sz w:val="28"/>
                <w:szCs w:val="28"/>
                <w:u w:val="none"/>
              </w:rPr>
              <w:t xml:space="preserve">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1</w:t>
            </w:r>
            <w:r>
              <w:rPr>
                <w:rFonts w:eastAsia="Century Gothic" w:cs="Century Gothic" w:ascii="Times New Roman" w:hAnsi="Times New Roman"/>
                <w:sz w:val="28"/>
                <w:szCs w:val="28"/>
              </w:rPr>
              <w:t>.</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u w:val="none"/>
                <w:lang w:eastAsia="uk-UA"/>
              </w:rPr>
              <w:t xml:space="preserve">Покровська школа мистецтв “Арт-мюзік”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Покровська музична школа “Домінанта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3.</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Клуб селища Перевізські Хутори м.Покров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4.</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Комунальний Базовий клубний заклад “Шолоховський сільський будинок культури Покровської міської ради Дніпропетровської області”:</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філія № 1 “Базавлуцький сільський клуб”;</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філія № 2 “Миронівський сільський клуб”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5.</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Народний історико-краєзнавчий музей імені М.А.Занудька </w:t>
            </w:r>
          </w:p>
        </w:tc>
      </w:tr>
      <w:tr>
        <w:trPr/>
        <w:tc>
          <w:tcPr>
            <w:tcW w:w="770"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6.</w:t>
            </w:r>
          </w:p>
        </w:tc>
        <w:tc>
          <w:tcPr>
            <w:tcW w:w="8585" w:type="dxa"/>
            <w:tcBorders>
              <w:start w:val="single" w:sz="4" w:space="0" w:color="000000"/>
              <w:bottom w:val="single" w:sz="4" w:space="0" w:color="000000"/>
              <w:end w:val="single" w:sz="4" w:space="0" w:color="000000"/>
            </w:tcBorders>
          </w:tcPr>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Комунальний заклад “Публічна бібліотека Покровської міської ради Дніпропетровської області з філіями”:</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бібліотека-філія №1 для дітей;</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бібліотека-філія №2 ;</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бібліотека-філія №3;</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Шолоховська сільська бібліотека-філія №4;</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Миронівська сільська бібліотека-філія №5;</w:t>
            </w:r>
          </w:p>
          <w:p>
            <w:pPr>
              <w:pStyle w:val="Normal"/>
              <w:ind w:hanging="0"/>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Базавлуцька сільська бібліотека-філія №6 </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before="114" w:after="114"/>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Кількість та площа будівель </w:t>
      </w:r>
      <w:r>
        <w:rPr>
          <w:rStyle w:val="Style12"/>
          <w:rFonts w:eastAsia="Century Gothic" w:cs="Century Gothic" w:ascii="Times New Roman" w:hAnsi="Times New Roman"/>
          <w:b/>
          <w:bCs/>
          <w:color w:val="000000"/>
          <w:kern w:val="0"/>
          <w:sz w:val="28"/>
          <w:szCs w:val="28"/>
          <w:lang w:eastAsia="uk-UA"/>
        </w:rPr>
        <w:t xml:space="preserve">закладів </w:t>
      </w:r>
      <w:r>
        <w:rPr>
          <w:rStyle w:val="Style12"/>
          <w:rFonts w:eastAsia="Century Gothic" w:cs="Century Gothic" w:ascii="Times New Roman" w:hAnsi="Times New Roman"/>
          <w:b/>
          <w:bCs/>
          <w:color w:val="000000"/>
          <w:kern w:val="0"/>
          <w:sz w:val="28"/>
          <w:szCs w:val="28"/>
          <w:lang w:eastAsia="uk-UA"/>
        </w:rPr>
        <w:t>культури</w:t>
      </w:r>
    </w:p>
    <w:tbl>
      <w:tblPr>
        <w:tblW w:w="5000" w:type="pct"/>
        <w:jc w:val="start"/>
        <w:tblInd w:w="-5" w:type="dxa"/>
        <w:tblLayout w:type="fixed"/>
        <w:tblCellMar>
          <w:top w:w="55" w:type="dxa"/>
          <w:start w:w="55" w:type="dxa"/>
          <w:bottom w:w="55" w:type="dxa"/>
          <w:end w:w="55" w:type="dxa"/>
        </w:tblCellMar>
      </w:tblPr>
      <w:tblGrid>
        <w:gridCol w:w="1321"/>
        <w:gridCol w:w="1542"/>
        <w:gridCol w:w="1428"/>
        <w:gridCol w:w="1674"/>
        <w:gridCol w:w="1371"/>
        <w:gridCol w:w="2019"/>
      </w:tblGrid>
      <w:tr>
        <w:trPr/>
        <w:tc>
          <w:tcPr>
            <w:tcW w:w="132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закладів</w:t>
            </w:r>
          </w:p>
        </w:tc>
        <w:tc>
          <w:tcPr>
            <w:tcW w:w="1542"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окремих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власних</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будівель</w:t>
            </w:r>
          </w:p>
        </w:tc>
        <w:tc>
          <w:tcPr>
            <w:tcW w:w="1428"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всього</w:t>
            </w:r>
          </w:p>
        </w:tc>
        <w:tc>
          <w:tcPr>
            <w:tcW w:w="1674"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Кількість</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опалюються</w:t>
            </w:r>
          </w:p>
        </w:tc>
        <w:tc>
          <w:tcPr>
            <w:tcW w:w="1371" w:type="dxa"/>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всього </w:t>
            </w:r>
            <w:r>
              <w:rPr>
                <w:rFonts w:eastAsia="Century Gothic" w:cs="Century Gothic" w:ascii="Times New Roman" w:hAnsi="Times New Roman"/>
                <w:b/>
                <w:bCs/>
                <w:sz w:val="28"/>
                <w:szCs w:val="28"/>
              </w:rPr>
              <w:t>м</w:t>
            </w:r>
            <w:r>
              <w:rPr>
                <w:rFonts w:eastAsia="Times New Roman" w:cs="Times New Roman" w:ascii="Times New Roman" w:hAnsi="Times New Roman"/>
                <w:b/>
                <w:bCs/>
                <w:sz w:val="28"/>
                <w:szCs w:val="28"/>
              </w:rPr>
              <w:t>²</w:t>
            </w:r>
          </w:p>
        </w:tc>
        <w:tc>
          <w:tcPr>
            <w:tcW w:w="2019" w:type="dxa"/>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Площа</w:t>
            </w:r>
          </w:p>
          <w:p>
            <w:pPr>
              <w:pStyle w:val="Style20"/>
              <w:spacing w:lineRule="auto" w:line="240"/>
              <w:jc w:val="center"/>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 xml:space="preserve">будівель </w:t>
            </w:r>
            <w:r>
              <w:rPr>
                <w:rFonts w:eastAsia="Century Gothic" w:cs="Century Gothic" w:ascii="Times New Roman" w:hAnsi="Times New Roman"/>
                <w:b/>
                <w:bCs/>
                <w:sz w:val="28"/>
                <w:szCs w:val="28"/>
              </w:rPr>
              <w:t>займаних</w:t>
            </w:r>
            <w:r>
              <w:rPr>
                <w:rFonts w:eastAsia="Century Gothic" w:cs="Century Gothic" w:ascii="Times New Roman" w:hAnsi="Times New Roman"/>
                <w:b/>
                <w:bCs/>
                <w:sz w:val="28"/>
                <w:szCs w:val="28"/>
              </w:rPr>
              <w:t>, що</w:t>
            </w:r>
          </w:p>
          <w:p>
            <w:pPr>
              <w:pStyle w:val="Style20"/>
              <w:spacing w:lineRule="auto" w:line="24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опалюються м²</w:t>
            </w:r>
          </w:p>
        </w:tc>
      </w:tr>
      <w:tr>
        <w:trPr/>
        <w:tc>
          <w:tcPr>
            <w:tcW w:w="132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14</w:t>
            </w:r>
          </w:p>
        </w:tc>
        <w:tc>
          <w:tcPr>
            <w:tcW w:w="1542"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428"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w:t>
            </w:r>
          </w:p>
        </w:tc>
        <w:tc>
          <w:tcPr>
            <w:tcW w:w="1674"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w:t>
            </w:r>
          </w:p>
        </w:tc>
        <w:tc>
          <w:tcPr>
            <w:tcW w:w="1371" w:type="dxa"/>
            <w:tcBorders>
              <w:start w:val="single" w:sz="4" w:space="0" w:color="000000"/>
              <w:bottom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3696</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2</w:t>
            </w:r>
          </w:p>
        </w:tc>
        <w:tc>
          <w:tcPr>
            <w:tcW w:w="2019"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w:t>
            </w:r>
            <w:r>
              <w:rPr>
                <w:rFonts w:eastAsia="Century Gothic" w:cs="Century Gothic" w:ascii="Times New Roman" w:hAnsi="Times New Roman"/>
                <w:sz w:val="28"/>
                <w:szCs w:val="28"/>
                <w:shd w:fill="auto" w:val="clear"/>
              </w:rPr>
              <w:t>594</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52</w:t>
            </w:r>
          </w:p>
        </w:tc>
      </w:tr>
    </w:tbl>
    <w:p>
      <w:pPr>
        <w:pStyle w:val="Default"/>
        <w:jc w:val="center"/>
        <w:rPr>
          <w:rFonts w:cs="Century Gothic"/>
          <w:b/>
          <w:bCs/>
          <w:color w:themeColor="accent1" w:themeShade="bf" w:val="auto"/>
        </w:rPr>
      </w:pPr>
      <w:r>
        <w:rPr>
          <w:sz w:val="28"/>
          <w:szCs w:val="28"/>
        </w:rPr>
      </w:r>
    </w:p>
    <w:p>
      <w:pPr>
        <w:pStyle w:val="Default"/>
        <w:jc w:val="center"/>
        <w:rPr>
          <w:rFonts w:ascii="Times New Roman" w:hAnsi="Times New Roman"/>
          <w:sz w:val="28"/>
          <w:szCs w:val="28"/>
        </w:rPr>
      </w:pPr>
      <w:r>
        <w:rPr>
          <w:rFonts w:cs="Century Gothic"/>
          <w:b/>
          <w:bCs/>
          <w:color w:themeColor="accent1" w:themeShade="bf" w:val="auto"/>
          <w:sz w:val="28"/>
          <w:szCs w:val="28"/>
        </w:rPr>
        <w:t>Річне споживання палива транспорт</w:t>
      </w:r>
      <w:r>
        <w:rPr>
          <w:rFonts w:cs="Century Gothic"/>
          <w:b/>
          <w:bCs/>
          <w:color w:themeColor="accent1" w:themeShade="bf" w:val="auto"/>
          <w:sz w:val="28"/>
          <w:szCs w:val="28"/>
        </w:rPr>
        <w:t>ними засобами</w:t>
      </w:r>
      <w:r>
        <w:rPr>
          <w:rFonts w:cs="Century Gothic"/>
          <w:b/>
          <w:bCs/>
          <w:color w:themeColor="accent1" w:themeShade="bf" w:val="auto"/>
          <w:sz w:val="28"/>
          <w:szCs w:val="28"/>
        </w:rPr>
        <w:t xml:space="preserve"> </w:t>
      </w:r>
      <w:r>
        <w:rPr>
          <w:rFonts w:cs="Century Gothic"/>
          <w:b/>
          <w:bCs/>
          <w:color w:themeColor="accent1" w:themeShade="bf" w:val="auto"/>
          <w:sz w:val="28"/>
          <w:szCs w:val="28"/>
        </w:rPr>
        <w:t xml:space="preserve">за видами палива </w:t>
      </w:r>
    </w:p>
    <w:p>
      <w:pPr>
        <w:pStyle w:val="Default"/>
        <w:spacing w:before="57" w:after="57"/>
        <w:jc w:val="center"/>
        <w:rPr>
          <w:rFonts w:ascii="Times New Roman" w:hAnsi="Times New Roman"/>
          <w:sz w:val="28"/>
          <w:szCs w:val="28"/>
        </w:rPr>
      </w:pPr>
      <w:r>
        <w:rPr>
          <w:rFonts w:cs="Century Gothic"/>
          <w:b/>
          <w:bCs/>
          <w:color w:themeColor="accent1" w:themeShade="bf" w:val="auto"/>
          <w:sz w:val="28"/>
          <w:szCs w:val="28"/>
        </w:rPr>
        <w:t xml:space="preserve">у </w:t>
      </w:r>
      <w:r>
        <w:rPr>
          <w:rFonts w:cs="Century Gothic"/>
          <w:b/>
          <w:bCs/>
          <w:color w:themeColor="accent1" w:themeShade="bf" w:val="auto"/>
          <w:sz w:val="28"/>
          <w:szCs w:val="28"/>
        </w:rPr>
        <w:t>громадськ</w:t>
      </w:r>
      <w:r>
        <w:rPr>
          <w:rFonts w:cs="Century Gothic"/>
          <w:b/>
          <w:bCs/>
          <w:color w:themeColor="accent1" w:themeShade="bf" w:val="auto"/>
          <w:sz w:val="28"/>
          <w:szCs w:val="28"/>
        </w:rPr>
        <w:t>о</w:t>
      </w:r>
      <w:r>
        <w:rPr>
          <w:rFonts w:cs="Century Gothic"/>
          <w:b/>
          <w:bCs/>
          <w:color w:themeColor="accent1" w:themeShade="bf" w:val="auto"/>
          <w:sz w:val="28"/>
          <w:szCs w:val="28"/>
        </w:rPr>
        <w:t>м</w:t>
      </w:r>
      <w:r>
        <w:rPr>
          <w:rFonts w:cs="Century Gothic"/>
          <w:b/>
          <w:bCs/>
          <w:color w:themeColor="accent1" w:themeShade="bf" w:val="auto"/>
          <w:sz w:val="28"/>
          <w:szCs w:val="28"/>
        </w:rPr>
        <w:t>у</w:t>
      </w:r>
      <w:r>
        <w:rPr>
          <w:rFonts w:cs="Century Gothic"/>
          <w:b/>
          <w:bCs/>
          <w:color w:themeColor="accent1" w:themeShade="bf" w:val="auto"/>
          <w:sz w:val="28"/>
          <w:szCs w:val="28"/>
        </w:rPr>
        <w:t xml:space="preserve"> сектор</w:t>
      </w:r>
      <w:r>
        <w:rPr>
          <w:rFonts w:cs="Century Gothic"/>
          <w:b/>
          <w:bCs/>
          <w:color w:themeColor="accent1" w:themeShade="bf" w:val="auto"/>
          <w:sz w:val="28"/>
          <w:szCs w:val="28"/>
        </w:rPr>
        <w:t>і</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31,4</w:t>
              <w:tab/>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33,9</w:t>
              <w:tab/>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26,1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2,6</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5,4</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6,8</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7,9</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0,8</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МВт*год </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369</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369</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357</w:t>
            </w:r>
          </w:p>
        </w:tc>
      </w:tr>
    </w:tbl>
    <w:p>
      <w:pPr>
        <w:pStyle w:val="Normal"/>
        <w:ind w:firstLine="567"/>
        <w:jc w:val="center"/>
        <w:rPr>
          <w:rFonts w:ascii="Times New Roman" w:hAnsi="Times New Roman"/>
          <w:sz w:val="26"/>
          <w:szCs w:val="26"/>
        </w:rPr>
      </w:pPr>
      <w:r>
        <w:rPr/>
      </w:r>
    </w:p>
    <w:p>
      <w:pPr>
        <w:pStyle w:val="Normal"/>
        <w:spacing w:lineRule="auto" w:line="240" w:before="0" w:after="0"/>
        <w:jc w:val="center"/>
        <w:rPr>
          <w:rFonts w:ascii="Times New Roman" w:hAnsi="Times New Roman"/>
          <w:b/>
          <w:bCs/>
          <w:sz w:val="28"/>
          <w:szCs w:val="28"/>
        </w:rPr>
      </w:pPr>
      <w:r>
        <w:rPr>
          <w:rFonts w:ascii="Times New Roman" w:hAnsi="Times New Roman"/>
          <w:b/>
          <w:bCs/>
          <w:sz w:val="28"/>
          <w:szCs w:val="28"/>
        </w:rPr>
        <w:t>Обсяги споживання енергоресурсів по громадським будівлям</w:t>
      </w:r>
    </w:p>
    <w:p>
      <w:pPr>
        <w:pStyle w:val="Normal"/>
        <w:spacing w:lineRule="auto" w:line="240" w:before="57" w:after="57"/>
        <w:jc w:val="center"/>
        <w:rPr/>
      </w:pPr>
      <w:r>
        <w:rPr>
          <w:rFonts w:ascii="Times New Roman" w:hAnsi="Times New Roman"/>
          <w:b/>
          <w:bCs/>
          <w:sz w:val="28"/>
          <w:szCs w:val="28"/>
        </w:rPr>
        <w:t>за період 20</w:t>
      </w:r>
      <w:r>
        <w:rPr>
          <w:rFonts w:ascii="Times New Roman" w:hAnsi="Times New Roman"/>
          <w:b/>
          <w:bCs/>
          <w:sz w:val="28"/>
          <w:szCs w:val="28"/>
        </w:rPr>
        <w:t>22</w:t>
      </w:r>
      <w:r>
        <w:rPr>
          <w:rFonts w:ascii="Times New Roman" w:hAnsi="Times New Roman"/>
          <w:b/>
          <w:bCs/>
          <w:sz w:val="28"/>
          <w:szCs w:val="28"/>
        </w:rPr>
        <w:t>–202</w:t>
      </w:r>
      <w:r>
        <w:rPr>
          <w:rFonts w:ascii="Times New Roman" w:hAnsi="Times New Roman"/>
          <w:b/>
          <w:bCs/>
          <w:sz w:val="28"/>
          <w:szCs w:val="28"/>
        </w:rPr>
        <w:t>4</w:t>
      </w:r>
      <w:r>
        <w:rPr>
          <w:rFonts w:ascii="Times New Roman" w:hAnsi="Times New Roman"/>
          <w:b/>
          <w:bCs/>
          <w:sz w:val="28"/>
          <w:szCs w:val="28"/>
        </w:rPr>
        <w:t xml:space="preserve"> рр.</w:t>
      </w:r>
    </w:p>
    <w:tbl>
      <w:tblPr>
        <w:tblW w:w="9662" w:type="dxa"/>
        <w:jc w:val="start"/>
        <w:tblInd w:w="-113" w:type="dxa"/>
        <w:tblLayout w:type="fixed"/>
        <w:tblCellMar>
          <w:top w:w="55" w:type="dxa"/>
          <w:start w:w="55" w:type="dxa"/>
          <w:bottom w:w="55" w:type="dxa"/>
          <w:end w:w="55" w:type="dxa"/>
        </w:tblCellMar>
      </w:tblPr>
      <w:tblGrid>
        <w:gridCol w:w="3570"/>
        <w:gridCol w:w="1305"/>
        <w:gridCol w:w="1650"/>
        <w:gridCol w:w="1575"/>
        <w:gridCol w:w="1562"/>
      </w:tblGrid>
      <w:tr>
        <w:trPr>
          <w:trHeight w:val="26" w:hRule="atLeast"/>
        </w:trPr>
        <w:tc>
          <w:tcPr>
            <w:tcW w:w="3570"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Найменування</w:t>
            </w:r>
          </w:p>
        </w:tc>
        <w:tc>
          <w:tcPr>
            <w:tcW w:w="1305"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4787"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Роки</w:t>
            </w:r>
          </w:p>
        </w:tc>
      </w:tr>
      <w:tr>
        <w:trPr>
          <w:trHeight w:val="26" w:hRule="atLeast"/>
        </w:trPr>
        <w:tc>
          <w:tcPr>
            <w:tcW w:w="3570" w:type="dxa"/>
            <w:vMerge w:val="continue"/>
            <w:tcBorders>
              <w:top w:val="single" w:sz="4" w:space="0" w:color="000000"/>
              <w:start w:val="single" w:sz="4" w:space="0" w:color="000000"/>
              <w:bottom w:val="single" w:sz="4" w:space="0" w:color="000000"/>
            </w:tcBorders>
          </w:tcPr>
          <w:p>
            <w:pPr>
              <w:pStyle w:val="Normal"/>
              <w:rPr/>
            </w:pPr>
            <w:r>
              <w:rPr/>
            </w:r>
          </w:p>
        </w:tc>
        <w:tc>
          <w:tcPr>
            <w:tcW w:w="1305"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650"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2022</w:t>
            </w:r>
          </w:p>
        </w:tc>
        <w:tc>
          <w:tcPr>
            <w:tcW w:w="1575"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2023</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2024</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Електроенергія</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МВт*год</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13508,63</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10819,15</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7422,26</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Природний газ</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тис.м</w:t>
            </w:r>
            <w:r>
              <w:rPr>
                <w:rFonts w:eastAsia="Times New Roman" w:cs="Times New Roman" w:ascii="Times New Roman" w:hAnsi="Times New Roman"/>
                <w:b/>
                <w:bCs/>
                <w:sz w:val="28"/>
                <w:szCs w:val="28"/>
              </w:rPr>
              <w:t>³</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112,91</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215,16</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188,17</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Теплова енергія на опалення</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Гкал</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7717,62</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8135,11</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9301,5</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Дрова</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Тонна</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18,11</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9,72</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7,86</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Вугілля</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Тонна</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134,66</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105,63</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49,9</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 xml:space="preserve">Бензин </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тис. л</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13,8</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11,4</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6,7</w:t>
            </w:r>
          </w:p>
        </w:tc>
      </w:tr>
      <w:tr>
        <w:trPr>
          <w:trHeight w:val="26" w:hRule="atLeast"/>
        </w:trPr>
        <w:tc>
          <w:tcPr>
            <w:tcW w:w="3570"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Дизель</w:t>
            </w:r>
          </w:p>
        </w:tc>
        <w:tc>
          <w:tcPr>
            <w:tcW w:w="130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тис. л</w:t>
            </w:r>
          </w:p>
        </w:tc>
        <w:tc>
          <w:tcPr>
            <w:tcW w:w="16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0,3</w:t>
            </w:r>
          </w:p>
        </w:tc>
        <w:tc>
          <w:tcPr>
            <w:tcW w:w="15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156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4,6</w:t>
            </w:r>
          </w:p>
        </w:tc>
      </w:tr>
    </w:tbl>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побудови енергетичного балансу необхідно відобразити споживання енергії у МВт·год.  Для цього використову</w:t>
      </w:r>
      <w:r>
        <w:rPr>
          <w:rFonts w:eastAsia="Century Gothic" w:cs="Century Gothic" w:ascii="Times New Roman" w:hAnsi="Times New Roman"/>
          <w:color w:val="000000"/>
          <w:kern w:val="0"/>
          <w:sz w:val="28"/>
          <w:szCs w:val="28"/>
          <w:lang w:eastAsia="uk-UA"/>
        </w:rPr>
        <w:t xml:space="preserve">ються </w:t>
      </w:r>
      <w:r>
        <w:rPr>
          <w:rFonts w:eastAsia="Century Gothic" w:cs="Century Gothic" w:ascii="Times New Roman" w:hAnsi="Times New Roman"/>
          <w:color w:val="000000"/>
          <w:kern w:val="0"/>
          <w:sz w:val="28"/>
          <w:szCs w:val="28"/>
          <w:lang w:eastAsia="uk-UA"/>
        </w:rPr>
        <w:t>коефіцієнти переводу.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tbl>
      <w:tblPr>
        <w:tblW w:w="5000" w:type="pct"/>
        <w:jc w:val="start"/>
        <w:tblInd w:w="-5" w:type="dxa"/>
        <w:tblLayout w:type="fixed"/>
        <w:tblCellMar>
          <w:top w:w="55" w:type="dxa"/>
          <w:start w:w="55" w:type="dxa"/>
          <w:bottom w:w="55" w:type="dxa"/>
          <w:end w:w="55" w:type="dxa"/>
        </w:tblCellMar>
      </w:tblPr>
      <w:tblGrid>
        <w:gridCol w:w="5775"/>
        <w:gridCol w:w="3580"/>
      </w:tblGrid>
      <w:tr>
        <w:trPr/>
        <w:tc>
          <w:tcPr>
            <w:tcW w:w="5775" w:type="dxa"/>
            <w:tcBorders>
              <w:top w:val="single" w:sz="4" w:space="0" w:color="000000"/>
              <w:start w:val="single" w:sz="4" w:space="0" w:color="000000"/>
              <w:bottom w:val="single" w:sz="4" w:space="0" w:color="000000"/>
            </w:tcBorders>
          </w:tcPr>
          <w:p>
            <w:pPr>
              <w:pStyle w:val="Style20"/>
              <w:jc w:val="center"/>
              <w:rPr>
                <w:rFonts w:ascii="Times New Roman" w:hAnsi="Times New Roman" w:eastAsia="Century Gothic" w:cs="Century Gothic"/>
                <w:b/>
                <w:bCs/>
                <w:sz w:val="24"/>
                <w:szCs w:val="24"/>
              </w:rPr>
            </w:pPr>
            <w:r>
              <w:rPr>
                <w:rFonts w:eastAsia="Century Gothic" w:cs="Century Gothic" w:ascii="Times New Roman" w:hAnsi="Times New Roman"/>
                <w:b/>
                <w:bCs/>
                <w:sz w:val="24"/>
                <w:szCs w:val="24"/>
              </w:rPr>
              <w:t>Одиниця енергетичної величини</w:t>
            </w:r>
          </w:p>
        </w:tc>
        <w:tc>
          <w:tcPr>
            <w:tcW w:w="3580" w:type="dxa"/>
            <w:tcBorders>
              <w:top w:val="single" w:sz="4" w:space="0" w:color="000000"/>
              <w:start w:val="single" w:sz="4" w:space="0" w:color="000000"/>
              <w:bottom w:val="single" w:sz="4" w:space="0" w:color="000000"/>
              <w:end w:val="single" w:sz="4" w:space="0" w:color="000000"/>
            </w:tcBorders>
          </w:tcPr>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МВт-год</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Гкал теплової енергії</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1,163</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МВт·год електроенергії</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тис.м</w:t>
            </w:r>
            <w:r>
              <w:rPr>
                <w:rFonts w:eastAsia="Times New Roman" w:cs="Times New Roman" w:ascii="Times New Roman" w:hAnsi="Times New Roman"/>
                <w:sz w:val="24"/>
                <w:szCs w:val="24"/>
              </w:rPr>
              <w:t>³</w:t>
            </w:r>
            <w:r>
              <w:rPr>
                <w:rFonts w:eastAsia="Century Gothic" w:cs="Century Gothic" w:ascii="Times New Roman" w:hAnsi="Times New Roman"/>
                <w:sz w:val="24"/>
                <w:szCs w:val="24"/>
              </w:rPr>
              <w:t xml:space="preserve"> природного газу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9,390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вугілля</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7,200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мазуту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11,200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бензину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12,300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дизелю</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11,900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зрідженого газу</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13,100</w:t>
            </w:r>
          </w:p>
        </w:tc>
      </w:tr>
      <w:tr>
        <w:trPr/>
        <w:tc>
          <w:tcPr>
            <w:tcW w:w="5775" w:type="dxa"/>
            <w:tcBorders>
              <w:start w:val="single" w:sz="4" w:space="0" w:color="000000"/>
              <w:bottom w:val="single" w:sz="4" w:space="0" w:color="000000"/>
            </w:tcBorders>
          </w:tcPr>
          <w:p>
            <w:pPr>
              <w:pStyle w:val="Style20"/>
              <w:jc w:val="both"/>
              <w:rPr>
                <w:rFonts w:ascii="Times New Roman" w:hAnsi="Times New Roman" w:eastAsia="Century Gothic" w:cs="Century Gothic"/>
                <w:sz w:val="24"/>
                <w:szCs w:val="24"/>
              </w:rPr>
            </w:pPr>
            <w:r>
              <w:rPr>
                <w:rFonts w:eastAsia="Century Gothic" w:cs="Century Gothic" w:ascii="Times New Roman" w:hAnsi="Times New Roman"/>
                <w:sz w:val="24"/>
                <w:szCs w:val="24"/>
              </w:rPr>
              <w:t>1 тонна біопалива</w:t>
            </w:r>
          </w:p>
        </w:tc>
        <w:tc>
          <w:tcPr>
            <w:tcW w:w="3580"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4"/>
                <w:szCs w:val="24"/>
              </w:rPr>
            </w:pPr>
            <w:r>
              <w:rPr>
                <w:rFonts w:eastAsia="Century Gothic" w:cs="Century Gothic" w:ascii="Times New Roman" w:hAnsi="Times New Roman"/>
                <w:sz w:val="24"/>
                <w:szCs w:val="24"/>
              </w:rPr>
              <w:t>4,582</w:t>
            </w:r>
          </w:p>
        </w:tc>
      </w:tr>
    </w:tbl>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b/>
          <w:bCs/>
          <w:sz w:val="28"/>
          <w:szCs w:val="28"/>
        </w:rPr>
      </w:pPr>
      <w:r>
        <w:rPr>
          <w:rFonts w:ascii="Times New Roman" w:hAnsi="Times New Roman"/>
          <w:b/>
          <w:bCs/>
          <w:sz w:val="28"/>
          <w:szCs w:val="28"/>
        </w:rPr>
        <w:t xml:space="preserve">Енергетичний баланс сектору </w:t>
      </w:r>
      <w:r>
        <w:rPr>
          <w:rFonts w:ascii="Times New Roman" w:hAnsi="Times New Roman"/>
          <w:b/>
          <w:bCs/>
          <w:color w:val="000000"/>
          <w:sz w:val="28"/>
          <w:szCs w:val="28"/>
        </w:rPr>
        <w:t>громадські будівлі</w:t>
      </w:r>
      <w:r>
        <w:rPr>
          <w:rFonts w:ascii="Times New Roman" w:hAnsi="Times New Roman"/>
          <w:b/>
          <w:bCs/>
          <w:sz w:val="28"/>
          <w:szCs w:val="28"/>
        </w:rPr>
        <w:t>, МВт·год</w:t>
      </w:r>
    </w:p>
    <w:tbl>
      <w:tblPr>
        <w:tblW w:w="9662" w:type="dxa"/>
        <w:jc w:val="start"/>
        <w:tblInd w:w="-113" w:type="dxa"/>
        <w:tblLayout w:type="fixed"/>
        <w:tblCellMar>
          <w:top w:w="55" w:type="dxa"/>
          <w:start w:w="55" w:type="dxa"/>
          <w:bottom w:w="55" w:type="dxa"/>
          <w:end w:w="55" w:type="dxa"/>
        </w:tblCellMar>
      </w:tblPr>
      <w:tblGrid>
        <w:gridCol w:w="3285"/>
        <w:gridCol w:w="2325"/>
        <w:gridCol w:w="2040"/>
        <w:gridCol w:w="2012"/>
      </w:tblGrid>
      <w:tr>
        <w:trPr>
          <w:trHeight w:val="26" w:hRule="atLeast"/>
        </w:trPr>
        <w:tc>
          <w:tcPr>
            <w:tcW w:w="328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Найменування</w:t>
            </w:r>
          </w:p>
        </w:tc>
        <w:tc>
          <w:tcPr>
            <w:tcW w:w="6377"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Роки</w:t>
            </w:r>
          </w:p>
        </w:tc>
      </w:tr>
      <w:tr>
        <w:trPr>
          <w:trHeight w:val="26" w:hRule="atLeast"/>
        </w:trPr>
        <w:tc>
          <w:tcPr>
            <w:tcW w:w="3285" w:type="dxa"/>
            <w:vMerge w:val="continue"/>
            <w:tcBorders>
              <w:top w:val="single" w:sz="4" w:space="0" w:color="000000"/>
              <w:start w:val="single" w:sz="4" w:space="0" w:color="000000"/>
              <w:bottom w:val="single" w:sz="4" w:space="0" w:color="000000"/>
            </w:tcBorders>
          </w:tcPr>
          <w:p>
            <w:pPr>
              <w:pStyle w:val="Normal"/>
              <w:rPr/>
            </w:pPr>
            <w:r>
              <w:rPr/>
            </w:r>
          </w:p>
        </w:tc>
        <w:tc>
          <w:tcPr>
            <w:tcW w:w="2325"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2022</w:t>
            </w:r>
          </w:p>
        </w:tc>
        <w:tc>
          <w:tcPr>
            <w:tcW w:w="2040" w:type="dxa"/>
            <w:tcBorders>
              <w:start w:val="single" w:sz="4" w:space="0" w:color="000000"/>
              <w:bottom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2023</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8"/>
                <w:szCs w:val="28"/>
                <w:shd w:fill="auto" w:val="clear"/>
              </w:rPr>
            </w:pPr>
            <w:r>
              <w:rPr>
                <w:rFonts w:ascii="Times New Roman" w:hAnsi="Times New Roman"/>
                <w:b/>
                <w:bCs/>
                <w:sz w:val="28"/>
                <w:szCs w:val="28"/>
                <w:shd w:fill="auto" w:val="clear"/>
              </w:rPr>
              <w:t>2024</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Електроенергія</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13509</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10819</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7422</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Природний газ</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1060</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2020</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1767</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Теплова енергія на опалення</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8976</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9461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10818</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 xml:space="preserve">Біопаливо </w:t>
            </w:r>
            <w:r>
              <w:rPr>
                <w:rFonts w:ascii="Times New Roman" w:hAnsi="Times New Roman"/>
                <w:b/>
                <w:bCs/>
                <w:sz w:val="28"/>
                <w:szCs w:val="28"/>
              </w:rPr>
              <w:t>та відходи</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83</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45</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Вугілля</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970</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761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359</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 xml:space="preserve">Бензин </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126</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104</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61</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Дизель</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47</w:t>
            </w:r>
          </w:p>
        </w:tc>
      </w:tr>
      <w:tr>
        <w:trPr>
          <w:trHeight w:val="26" w:hRule="atLeast"/>
        </w:trPr>
        <w:tc>
          <w:tcPr>
            <w:tcW w:w="3285" w:type="dxa"/>
            <w:tcBorders>
              <w:start w:val="single" w:sz="4" w:space="0" w:color="000000"/>
              <w:bottom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Разом</w:t>
            </w:r>
          </w:p>
        </w:tc>
        <w:tc>
          <w:tcPr>
            <w:tcW w:w="232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2472</w:t>
            </w:r>
            <w:r>
              <w:rPr>
                <w:rFonts w:ascii="Times New Roman" w:hAnsi="Times New Roman"/>
                <w:sz w:val="28"/>
                <w:szCs w:val="28"/>
              </w:rPr>
              <w:t>7</w:t>
            </w:r>
          </w:p>
        </w:tc>
        <w:tc>
          <w:tcPr>
            <w:tcW w:w="204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23231</w:t>
            </w:r>
          </w:p>
        </w:tc>
        <w:tc>
          <w:tcPr>
            <w:tcW w:w="201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20510</w:t>
            </w:r>
          </w:p>
        </w:tc>
      </w:tr>
    </w:tbl>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b/>
          <w:bCs/>
          <w:sz w:val="28"/>
          <w:szCs w:val="28"/>
        </w:rPr>
      </w:pPr>
      <w:r>
        <w:rPr>
          <w:rFonts w:ascii="Times New Roman" w:hAnsi="Times New Roman"/>
          <w:b/>
          <w:bCs/>
          <w:sz w:val="28"/>
          <w:szCs w:val="28"/>
        </w:rPr>
        <w:t>Загальний е</w:t>
      </w:r>
      <w:r>
        <w:rPr>
          <w:rFonts w:ascii="Times New Roman" w:hAnsi="Times New Roman"/>
          <w:b/>
          <w:bCs/>
          <w:sz w:val="28"/>
          <w:szCs w:val="28"/>
        </w:rPr>
        <w:t>нергетичний баланс у секторі громадські будівлі</w:t>
      </w:r>
    </w:p>
    <w:p>
      <w:pPr>
        <w:pStyle w:val="Normal"/>
        <w:spacing w:before="0" w:after="0"/>
        <w:jc w:val="center"/>
        <w:rPr>
          <w:rFonts w:ascii="Times New Roman" w:hAnsi="Times New Roman"/>
          <w:b/>
          <w:bCs/>
          <w:sz w:val="28"/>
          <w:szCs w:val="28"/>
        </w:rPr>
      </w:pPr>
      <w:r>
        <w:rPr>
          <w:rFonts w:ascii="Times New Roman" w:hAnsi="Times New Roman"/>
          <w:b/>
          <w:bCs/>
          <w:sz w:val="28"/>
          <w:szCs w:val="28"/>
        </w:rPr>
        <w:t>за 20</w:t>
      </w:r>
      <w:r>
        <w:rPr>
          <w:rFonts w:ascii="Times New Roman" w:hAnsi="Times New Roman"/>
          <w:b/>
          <w:bCs/>
          <w:sz w:val="28"/>
          <w:szCs w:val="28"/>
        </w:rPr>
        <w:t>22</w:t>
      </w:r>
      <w:r>
        <w:rPr>
          <w:rFonts w:ascii="Times New Roman" w:hAnsi="Times New Roman"/>
          <w:b/>
          <w:bCs/>
          <w:sz w:val="28"/>
          <w:szCs w:val="28"/>
        </w:rPr>
        <w:t>-202</w:t>
      </w:r>
      <w:r>
        <w:rPr>
          <w:rFonts w:ascii="Times New Roman" w:hAnsi="Times New Roman"/>
          <w:b/>
          <w:bCs/>
          <w:sz w:val="28"/>
          <w:szCs w:val="28"/>
        </w:rPr>
        <w:t>4</w:t>
      </w:r>
      <w:r>
        <w:rPr>
          <w:rFonts w:ascii="Times New Roman" w:hAnsi="Times New Roman"/>
          <w:b/>
          <w:bCs/>
          <w:sz w:val="28"/>
          <w:szCs w:val="28"/>
        </w:rPr>
        <w:t>, МВт·год</w:t>
      </w:r>
    </w:p>
    <w:p>
      <w:pPr>
        <w:pStyle w:val="Normal"/>
        <w:spacing w:before="160" w:after="160"/>
        <w:jc w:val="center"/>
        <w:rPr/>
      </w:pPr>
      <w:r>
        <w:rPr/>
        <w:drawing>
          <wp:inline distT="0" distB="0" distL="0" distR="0">
            <wp:extent cx="5834380" cy="3188335"/>
            <wp:effectExtent l="0" t="0" r="0" b="0"/>
            <wp:docPr id="2" name="Об'єкт6"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t>Структура енергетичного балансу громадських будівель за 202</w:t>
      </w:r>
      <w:r>
        <w:rPr>
          <w:rFonts w:ascii="Times New Roman" w:hAnsi="Times New Roman"/>
          <w:b/>
          <w:bCs/>
          <w:color w:val="000000"/>
          <w:sz w:val="28"/>
          <w:szCs w:val="28"/>
        </w:rPr>
        <w:t>4</w:t>
      </w:r>
      <w:r>
        <w:rPr>
          <w:rFonts w:ascii="Times New Roman" w:hAnsi="Times New Roman"/>
          <w:b/>
          <w:bCs/>
          <w:color w:val="000000"/>
          <w:sz w:val="28"/>
          <w:szCs w:val="28"/>
        </w:rPr>
        <w:t xml:space="preserve"> рік</w:t>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r>
    </w:p>
    <w:p>
      <w:pPr>
        <w:pStyle w:val="Normal"/>
        <w:spacing w:before="0" w:after="0"/>
        <w:jc w:val="center"/>
        <w:rPr>
          <w:rFonts w:ascii="Times New Roman" w:hAnsi="Times New Roman"/>
          <w:b/>
          <w:bCs/>
          <w:color w:val="000000"/>
          <w:sz w:val="28"/>
          <w:szCs w:val="28"/>
        </w:rPr>
      </w:pPr>
      <w:r>
        <w:rPr>
          <w:rFonts w:ascii="Times New Roman" w:hAnsi="Times New Roman"/>
          <w:b/>
          <w:bCs/>
          <w:color w:val="000000"/>
          <w:sz w:val="28"/>
          <w:szCs w:val="28"/>
        </w:rPr>
        <w:drawing>
          <wp:inline distT="0" distB="0" distL="0" distR="0">
            <wp:extent cx="5683250" cy="2598420"/>
            <wp:effectExtent l="0" t="0" r="0" b="0"/>
            <wp:docPr id="3" name="Об'єкт2"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ascii="Times New Roman" w:hAnsi="Times New Roman"/>
          <w:b/>
          <w:bCs/>
          <w:color w:val="000000"/>
          <w:sz w:val="28"/>
          <w:szCs w:val="28"/>
        </w:rPr>
        <w:t xml:space="preserve"> </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Аналіз енергетичного балансу </w:t>
      </w:r>
      <w:r>
        <w:rPr>
          <w:rFonts w:eastAsia="Century Gothic" w:cs="Century Gothic" w:ascii="Times New Roman" w:hAnsi="Times New Roman"/>
          <w:color w:val="000000"/>
          <w:kern w:val="0"/>
          <w:sz w:val="28"/>
          <w:szCs w:val="28"/>
          <w:lang w:eastAsia="uk-UA"/>
        </w:rPr>
        <w:t xml:space="preserve">громадських </w:t>
      </w:r>
      <w:r>
        <w:rPr>
          <w:rFonts w:eastAsia="Century Gothic" w:cs="Century Gothic" w:ascii="Times New Roman" w:hAnsi="Times New Roman"/>
          <w:color w:val="000000"/>
          <w:kern w:val="0"/>
          <w:sz w:val="28"/>
          <w:szCs w:val="28"/>
          <w:lang w:eastAsia="uk-UA"/>
        </w:rPr>
        <w:t xml:space="preserve">будівель показує, що основним видом енергії </w:t>
      </w:r>
      <w:r>
        <w:rPr>
          <w:rFonts w:eastAsia="Century Gothic" w:cs="Century Gothic" w:ascii="Times New Roman" w:hAnsi="Times New Roman"/>
          <w:color w:val="000000"/>
          <w:kern w:val="0"/>
          <w:sz w:val="28"/>
          <w:szCs w:val="28"/>
          <w:lang w:eastAsia="uk-UA"/>
        </w:rPr>
        <w:t>є</w:t>
      </w: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 xml:space="preserve">теплова енергія </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5</w:t>
      </w:r>
      <w:r>
        <w:rPr>
          <w:rFonts w:eastAsia="Century Gothic" w:cs="Century Gothic" w:ascii="Times New Roman" w:hAnsi="Times New Roman"/>
          <w:color w:val="000000"/>
          <w:kern w:val="0"/>
          <w:sz w:val="28"/>
          <w:szCs w:val="28"/>
          <w:lang w:eastAsia="uk-UA"/>
        </w:rPr>
        <w:t>3</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w:t>
      </w:r>
      <w:r>
        <w:rPr>
          <w:rFonts w:eastAsia="Century Gothic" w:cs="Century Gothic" w:ascii="Times New Roman" w:hAnsi="Times New Roman"/>
          <w:color w:val="000000"/>
          <w:kern w:val="0"/>
          <w:sz w:val="28"/>
          <w:szCs w:val="28"/>
          <w:lang w:eastAsia="uk-UA"/>
        </w:rPr>
        <w:t>.</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bookmarkStart w:id="32" w:name="_Toc181742469"/>
      <w:bookmarkStart w:id="33" w:name="_Toc195651483"/>
      <w:bookmarkStart w:id="34" w:name="_Toc184139688"/>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.2. Житлові будівлі</w:t>
      </w:r>
      <w:bookmarkEnd w:id="32"/>
      <w:bookmarkEnd w:id="33"/>
      <w:bookmarkEnd w:id="34"/>
    </w:p>
    <w:p>
      <w:pPr>
        <w:pStyle w:val="Normal"/>
        <w:ind w:firstLine="567"/>
        <w:jc w:val="center"/>
        <w:rPr>
          <w:rFonts w:ascii="Times New Roman" w:hAnsi="Times New Roman"/>
          <w:sz w:val="21"/>
          <w:szCs w:val="21"/>
        </w:rPr>
      </w:pPr>
      <w:r>
        <w:rPr>
          <w:rFonts w:eastAsia="Century Gothic" w:cs="Century Gothic" w:ascii="Times New Roman" w:hAnsi="Times New Roman"/>
          <w:color w:val="000000"/>
          <w:kern w:val="0"/>
          <w:sz w:val="21"/>
          <w:szCs w:val="21"/>
          <w:lang w:eastAsia="uk-UA"/>
        </w:rPr>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Житловий фонд громади включає як багатоквартирні, так і приватні житлові будинки. На території громади розташовані 312 багатоквартирних житлових будинків та майже 7 тисяч приватних. 276 будинків перебувають в управлінні ТОВ «УНІВЕРСАЛ-СЕРВІС 94». Житловий фонд у кількості 48 багатоквартирних будинків перебуває в 24 ОСББ.</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Аналізуючи сучасний стан житлового комплексу громади можна стверджувати, що значні втрати теплової енергії мають місце саме в житлових будинках. Це пов’язано з тим, що матеріали і технології будівництва, які використовувалися на момент спорудження більшості будівель, є застарілими й не відповідають сучасним державним нормам та вимогам енергоефективності.</w:t>
      </w:r>
    </w:p>
    <w:p>
      <w:pPr>
        <w:pStyle w:val="Normal"/>
        <w:ind w:firstLine="567"/>
        <w:jc w:val="center"/>
        <w:rPr>
          <w:rFonts w:ascii="Times New Roman" w:hAnsi="Times New Roman"/>
          <w:sz w:val="26"/>
          <w:szCs w:val="26"/>
        </w:rPr>
      </w:pPr>
      <w:r>
        <w:rPr>
          <w:rFonts w:eastAsia="Century Gothic" w:cs="Century Gothic" w:ascii="Times New Roman" w:hAnsi="Times New Roman"/>
          <w:color w:val="000000"/>
          <w:kern w:val="0"/>
          <w:sz w:val="24"/>
          <w:szCs w:val="24"/>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 Водопостачання та водовідведення</w:t>
      </w:r>
    </w:p>
    <w:p>
      <w:pPr>
        <w:pStyle w:val="Normal"/>
        <w:ind w:firstLine="567"/>
        <w:jc w:val="center"/>
        <w:rPr>
          <w:rFonts w:ascii="Times New Roman" w:hAnsi="Times New Roman"/>
          <w:sz w:val="21"/>
          <w:szCs w:val="21"/>
        </w:rPr>
      </w:pPr>
      <w:r>
        <w:rPr>
          <w:rFonts w:eastAsia="Century Gothic" w:cs="Century Gothic" w:ascii="Times New Roman" w:hAnsi="Times New Roman"/>
          <w:b/>
          <w:bCs/>
          <w:color w:val="000000"/>
          <w:kern w:val="0"/>
          <w:sz w:val="21"/>
          <w:szCs w:val="21"/>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На території </w:t>
      </w:r>
      <w:r>
        <w:rPr>
          <w:rFonts w:eastAsia="Century Gothic" w:cs="Century Gothic" w:ascii="Times New Roman" w:hAnsi="Times New Roman"/>
          <w:color w:val="000000"/>
          <w:kern w:val="0"/>
          <w:sz w:val="28"/>
          <w:szCs w:val="28"/>
          <w:lang w:eastAsia="uk-UA"/>
        </w:rPr>
        <w:t>громади</w:t>
      </w:r>
      <w:r>
        <w:rPr>
          <w:rFonts w:eastAsia="Century Gothic" w:cs="Century Gothic" w:ascii="Times New Roman" w:hAnsi="Times New Roman"/>
          <w:color w:val="000000"/>
          <w:kern w:val="0"/>
          <w:sz w:val="28"/>
          <w:szCs w:val="28"/>
          <w:lang w:eastAsia="uk-UA"/>
        </w:rPr>
        <w:t xml:space="preserve"> функціонує Міське комунальне підприємство «Покровське виробниче управління водопровідно-каналізаційного господарства», що надає послуги з централізованого водопостачання та водовідведення </w:t>
      </w:r>
      <w:r>
        <w:rPr>
          <w:rFonts w:eastAsia="Century Gothic" w:cs="Century Gothic" w:ascii="Times New Roman" w:hAnsi="Times New Roman"/>
          <w:color w:val="000000"/>
          <w:kern w:val="0"/>
          <w:sz w:val="28"/>
          <w:szCs w:val="28"/>
          <w:lang w:eastAsia="uk-UA"/>
        </w:rPr>
        <w:t>населенню та іншим споживачам,</w:t>
      </w:r>
      <w:r>
        <w:rPr>
          <w:rFonts w:eastAsia="Century Gothic" w:cs="Century Gothic" w:ascii="Times New Roman" w:hAnsi="Times New Roman"/>
          <w:color w:val="000000"/>
          <w:kern w:val="0"/>
          <w:sz w:val="28"/>
          <w:szCs w:val="28"/>
          <w:lang w:eastAsia="uk-UA"/>
        </w:rPr>
        <w:t xml:space="preserve"> а також послуги з ремонту водопровідних мереж.</w:t>
      </w:r>
    </w:p>
    <w:p>
      <w:pPr>
        <w:pStyle w:val="Normal"/>
        <w:ind w:firstLine="567"/>
        <w:jc w:val="both"/>
        <w:rPr>
          <w:rFonts w:ascii="Times New Roman" w:hAnsi="Times New Roman"/>
          <w:sz w:val="26"/>
          <w:szCs w:val="26"/>
        </w:rPr>
      </w:pPr>
      <w:r>
        <w:rPr>
          <w:rFonts w:ascii="Times New Roman" w:hAnsi="Times New Roman"/>
          <w:b w:val="false"/>
          <w:bCs w:val="false"/>
          <w:sz w:val="28"/>
          <w:szCs w:val="28"/>
          <w:shd w:fill="auto" w:val="clear"/>
        </w:rPr>
        <w:t>Магістральний водогін «Хортиця (ДВС-2) Томаківка – Марганець» «Марганець-Нікополь-Покров» застосовується як основне джерело водопостачання для Покровської міської територіальної громади.</w:t>
      </w:r>
    </w:p>
    <w:p>
      <w:pPr>
        <w:pStyle w:val="Normal"/>
        <w:ind w:firstLine="567"/>
        <w:jc w:val="both"/>
        <w:rPr>
          <w:rFonts w:ascii="Times New Roman" w:hAnsi="Times New Roman"/>
          <w:sz w:val="26"/>
          <w:szCs w:val="26"/>
        </w:rPr>
      </w:pPr>
      <w:r>
        <w:rPr>
          <w:rFonts w:ascii="Times New Roman" w:hAnsi="Times New Roman"/>
          <w:b w:val="false"/>
          <w:bCs w:val="false"/>
          <w:sz w:val="28"/>
          <w:szCs w:val="28"/>
          <w:shd w:fill="auto" w:val="clear"/>
        </w:rPr>
      </w:r>
    </w:p>
    <w:p>
      <w:pPr>
        <w:pStyle w:val="Normal"/>
        <w:jc w:val="center"/>
        <w:rPr>
          <w:rFonts w:ascii="Times New Roman" w:hAnsi="Times New Roman"/>
          <w:b/>
          <w:bCs/>
          <w:sz w:val="28"/>
          <w:szCs w:val="28"/>
        </w:rPr>
      </w:pPr>
      <w:r>
        <w:rPr>
          <w:rFonts w:ascii="Times New Roman" w:hAnsi="Times New Roman"/>
          <w:b/>
          <w:bCs/>
          <w:sz w:val="28"/>
          <w:szCs w:val="28"/>
        </w:rPr>
        <w:t>Загальна інформація про централізован</w:t>
      </w:r>
      <w:r>
        <w:rPr>
          <w:rFonts w:ascii="Times New Roman" w:hAnsi="Times New Roman"/>
          <w:b/>
          <w:bCs/>
          <w:sz w:val="28"/>
          <w:szCs w:val="28"/>
        </w:rPr>
        <w:t xml:space="preserve">е </w:t>
      </w:r>
      <w:r>
        <w:rPr>
          <w:rFonts w:ascii="Times New Roman" w:hAnsi="Times New Roman"/>
          <w:b/>
          <w:bCs/>
          <w:sz w:val="28"/>
          <w:szCs w:val="28"/>
        </w:rPr>
        <w:t>водопостачання і водовідведення</w:t>
      </w:r>
    </w:p>
    <w:tbl>
      <w:tblPr>
        <w:tblW w:w="5000" w:type="pct"/>
        <w:jc w:val="start"/>
        <w:tblInd w:w="-5" w:type="dxa"/>
        <w:tblLayout w:type="fixed"/>
        <w:tblCellMar>
          <w:top w:w="55" w:type="dxa"/>
          <w:start w:w="55" w:type="dxa"/>
          <w:bottom w:w="55" w:type="dxa"/>
          <w:end w:w="55" w:type="dxa"/>
        </w:tblCellMar>
      </w:tblPr>
      <w:tblGrid>
        <w:gridCol w:w="443"/>
        <w:gridCol w:w="6936"/>
        <w:gridCol w:w="931"/>
        <w:gridCol w:w="1045"/>
      </w:tblGrid>
      <w:tr>
        <w:trPr>
          <w:trHeight w:val="20" w:hRule="atLeast"/>
        </w:trPr>
        <w:tc>
          <w:tcPr>
            <w:tcW w:w="44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w:t>
            </w:r>
          </w:p>
        </w:tc>
        <w:tc>
          <w:tcPr>
            <w:tcW w:w="693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Показник</w:t>
            </w:r>
          </w:p>
        </w:tc>
        <w:tc>
          <w:tcPr>
            <w:tcW w:w="9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045"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Значення</w:t>
            </w:r>
          </w:p>
        </w:tc>
      </w:tr>
      <w:tr>
        <w:trPr>
          <w:trHeight w:val="20" w:hRule="atLeast"/>
        </w:trPr>
        <w:tc>
          <w:tcPr>
            <w:tcW w:w="4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6936" w:type="dxa"/>
            <w:tcBorders>
              <w:top w:val="single" w:sz="4" w:space="0" w:color="000000"/>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Чисельність населення, яке охоплене послугою централізованого водопостачання</w:t>
            </w:r>
          </w:p>
        </w:tc>
        <w:tc>
          <w:tcPr>
            <w:tcW w:w="931" w:type="dxa"/>
            <w:tcBorders>
              <w:top w:val="single" w:sz="4" w:space="0" w:color="000000"/>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чол.</w:t>
            </w:r>
          </w:p>
        </w:tc>
        <w:tc>
          <w:tcPr>
            <w:tcW w:w="104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44 444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Чисельність населення, яке охоплене послугою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чол.</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40 372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споживачів послуг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21179</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3.1</w:t>
            </w:r>
          </w:p>
        </w:tc>
        <w:tc>
          <w:tcPr>
            <w:tcW w:w="6936" w:type="dxa"/>
            <w:tcBorders>
              <w:start w:val="single" w:sz="4" w:space="0" w:color="000000"/>
              <w:bottom w:val="single" w:sz="4" w:space="0" w:color="000000"/>
            </w:tcBorders>
          </w:tcPr>
          <w:p>
            <w:pPr>
              <w:pStyle w:val="Style20"/>
              <w:rPr/>
            </w:pPr>
            <w:r>
              <w:rPr>
                <w:rStyle w:val="Style12"/>
                <w:rFonts w:ascii="Times New Roman" w:hAnsi="Times New Roman"/>
                <w:sz w:val="24"/>
                <w:szCs w:val="24"/>
                <w:shd w:fill="auto" w:val="clear"/>
              </w:rPr>
              <w:t>- побутові споживачі (абоненти)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20761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споживачів послуг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15674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15315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336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споживачів, які мають комерційні вузли обліку води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19423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19005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водозабірних споруд з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Середньодобовий дебіт (продуктивність)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400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водозабірних споруд з підземних джерел водопостачання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Середньодобовий дебіт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Загальна кількість насосних станцій, всього в т.ч:</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насосні станції першого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насосні станції другого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13</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насосні станції третього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14</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водонапірних башт</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373 010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водопостачання,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164 444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17</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очисних споруд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18</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Виробнича потужність очисних споруд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м³/добу</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19</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Кількість насосних станцій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20</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131 390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w:t>
            </w:r>
          </w:p>
        </w:tc>
        <w:tc>
          <w:tcPr>
            <w:tcW w:w="6936"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Довжина мереж централізованого водовідведення,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hd w:fill="FFFF00" w:val="clear"/>
              </w:rPr>
            </w:pPr>
            <w:r>
              <w:rPr>
                <w:rFonts w:ascii="Times New Roman" w:hAnsi="Times New Roman"/>
                <w:shd w:fill="auto" w:val="clear"/>
              </w:rPr>
              <w:t>120 879</w:t>
            </w:r>
          </w:p>
        </w:tc>
      </w:tr>
    </w:tbl>
    <w:p>
      <w:pPr>
        <w:pStyle w:val="Normal"/>
        <w:spacing w:before="0" w:after="0"/>
        <w:jc w:val="end"/>
        <w:rPr>
          <w:rStyle w:val="Style12"/>
          <w:rFonts w:ascii="Times New Roman" w:hAnsi="Times New Roman"/>
          <w:b/>
          <w:bCs/>
          <w:sz w:val="20"/>
          <w:szCs w:val="20"/>
        </w:rPr>
      </w:pPr>
      <w:r>
        <w:rPr/>
      </w:r>
    </w:p>
    <w:p>
      <w:pPr>
        <w:pStyle w:val="Normal"/>
        <w:jc w:val="center"/>
        <w:rPr/>
      </w:pPr>
      <w:r>
        <w:rPr>
          <w:rStyle w:val="Style12"/>
          <w:rFonts w:ascii="Times New Roman" w:hAnsi="Times New Roman"/>
          <w:b/>
          <w:bCs/>
          <w:sz w:val="28"/>
          <w:szCs w:val="28"/>
        </w:rPr>
        <w:t>Обсяги використання води у системі централізованого</w:t>
      </w:r>
    </w:p>
    <w:p>
      <w:pPr>
        <w:pStyle w:val="Normal"/>
        <w:spacing w:before="0" w:after="0"/>
        <w:jc w:val="center"/>
        <w:rPr/>
      </w:pPr>
      <w:r>
        <w:rPr>
          <w:rStyle w:val="Style12"/>
          <w:rFonts w:ascii="Times New Roman" w:hAnsi="Times New Roman"/>
          <w:b/>
          <w:bCs/>
          <w:sz w:val="28"/>
          <w:szCs w:val="28"/>
        </w:rPr>
        <w:t>водопостачання та водовідведення тис. м³</w:t>
      </w:r>
    </w:p>
    <w:tbl>
      <w:tblPr>
        <w:tblW w:w="9585" w:type="dxa"/>
        <w:jc w:val="start"/>
        <w:tblInd w:w="-5" w:type="dxa"/>
        <w:tblLayout w:type="fixed"/>
        <w:tblCellMar>
          <w:top w:w="55" w:type="dxa"/>
          <w:start w:w="55" w:type="dxa"/>
          <w:bottom w:w="55" w:type="dxa"/>
          <w:end w:w="55" w:type="dxa"/>
        </w:tblCellMar>
      </w:tblPr>
      <w:tblGrid>
        <w:gridCol w:w="431"/>
        <w:gridCol w:w="4834"/>
        <w:gridCol w:w="1365"/>
        <w:gridCol w:w="1305"/>
        <w:gridCol w:w="1650"/>
      </w:tblGrid>
      <w:tr>
        <w:trPr>
          <w:trHeight w:val="20" w:hRule="atLeast"/>
        </w:trPr>
        <w:tc>
          <w:tcPr>
            <w:tcW w:w="4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w:t>
            </w:r>
          </w:p>
        </w:tc>
        <w:tc>
          <w:tcPr>
            <w:tcW w:w="483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Показник</w:t>
            </w:r>
          </w:p>
        </w:tc>
        <w:tc>
          <w:tcPr>
            <w:tcW w:w="136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30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650"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0" w:hRule="atLeast"/>
        </w:trPr>
        <w:tc>
          <w:tcPr>
            <w:tcW w:w="431"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1</w:t>
            </w:r>
          </w:p>
        </w:tc>
        <w:tc>
          <w:tcPr>
            <w:tcW w:w="4834" w:type="dxa"/>
            <w:tcBorders>
              <w:top w:val="single" w:sz="4" w:space="0" w:color="000000"/>
              <w:start w:val="single" w:sz="4" w:space="0" w:color="000000"/>
              <w:bottom w:val="single" w:sz="4" w:space="0" w:color="000000"/>
            </w:tcBorders>
          </w:tcPr>
          <w:p>
            <w:pPr>
              <w:pStyle w:val="Style20"/>
              <w:rPr/>
            </w:pPr>
            <w:r>
              <w:rPr>
                <w:rStyle w:val="Style12"/>
                <w:rFonts w:ascii="Times New Roman" w:hAnsi="Times New Roman"/>
                <w:color w:val="000000"/>
                <w:sz w:val="24"/>
                <w:szCs w:val="24"/>
              </w:rPr>
              <w:t>Річний обсяг виробництва питної води</w:t>
            </w:r>
          </w:p>
          <w:p>
            <w:pPr>
              <w:pStyle w:val="Style20"/>
              <w:jc w:val="end"/>
              <w:rPr/>
            </w:pPr>
            <w:r>
              <w:rPr>
                <w:rStyle w:val="Style12"/>
                <w:rFonts w:ascii="Times New Roman" w:hAnsi="Times New Roman"/>
                <w:color w:val="000000"/>
                <w:sz w:val="24"/>
                <w:szCs w:val="24"/>
              </w:rPr>
              <w:t>ПІДНЯТО</w:t>
            </w:r>
          </w:p>
          <w:p>
            <w:pPr>
              <w:pStyle w:val="Style20"/>
              <w:jc w:val="end"/>
              <w:rPr/>
            </w:pPr>
            <w:r>
              <w:rPr>
                <w:rStyle w:val="Style12"/>
                <w:rFonts w:ascii="Times New Roman" w:hAnsi="Times New Roman"/>
                <w:color w:val="000000"/>
                <w:sz w:val="24"/>
                <w:szCs w:val="24"/>
              </w:rPr>
              <w:t>ОЧИЩЕНО</w:t>
            </w:r>
          </w:p>
        </w:tc>
        <w:tc>
          <w:tcPr>
            <w:tcW w:w="136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2769,22</w:t>
            </w:r>
          </w:p>
          <w:p>
            <w:pPr>
              <w:pStyle w:val="Style20"/>
              <w:jc w:val="center"/>
              <w:rPr>
                <w:rFonts w:ascii="Times New Roman" w:hAnsi="Times New Roman"/>
                <w:color w:val="000000"/>
                <w:sz w:val="24"/>
                <w:szCs w:val="24"/>
              </w:rPr>
            </w:pPr>
            <w:r>
              <w:rPr>
                <w:rFonts w:ascii="Times New Roman" w:hAnsi="Times New Roman"/>
                <w:color w:val="000000"/>
                <w:sz w:val="24"/>
                <w:szCs w:val="24"/>
              </w:rPr>
              <w:t>2608,71</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2137,89</w:t>
            </w:r>
          </w:p>
          <w:p>
            <w:pPr>
              <w:pStyle w:val="Style20"/>
              <w:jc w:val="center"/>
              <w:rPr>
                <w:rFonts w:ascii="Times New Roman" w:hAnsi="Times New Roman"/>
                <w:color w:val="000000"/>
                <w:sz w:val="24"/>
                <w:szCs w:val="24"/>
              </w:rPr>
            </w:pPr>
            <w:r>
              <w:rPr>
                <w:rFonts w:ascii="Times New Roman" w:hAnsi="Times New Roman"/>
                <w:color w:val="000000"/>
                <w:sz w:val="24"/>
                <w:szCs w:val="24"/>
              </w:rPr>
              <w:t>2 054,55</w:t>
            </w:r>
          </w:p>
        </w:tc>
        <w:tc>
          <w:tcPr>
            <w:tcW w:w="16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3289,75</w:t>
            </w:r>
          </w:p>
          <w:p>
            <w:pPr>
              <w:pStyle w:val="Style20"/>
              <w:jc w:val="center"/>
              <w:rPr>
                <w:rFonts w:ascii="Times New Roman" w:hAnsi="Times New Roman"/>
                <w:color w:val="000000"/>
                <w:sz w:val="24"/>
                <w:szCs w:val="24"/>
              </w:rPr>
            </w:pPr>
            <w:r>
              <w:rPr>
                <w:rFonts w:ascii="Times New Roman" w:hAnsi="Times New Roman"/>
                <w:color w:val="000000"/>
                <w:sz w:val="24"/>
                <w:szCs w:val="24"/>
              </w:rPr>
              <w:t>3149,714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Річний обсяг втрат води</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1222,85</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963,09</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2058,95</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2.1</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 при виробництві питної води</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633,12</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395,48</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1452,67</w:t>
            </w:r>
          </w:p>
          <w:p>
            <w:pPr>
              <w:pStyle w:val="Style20"/>
              <w:jc w:val="center"/>
              <w:rPr>
                <w:rFonts w:ascii="Times New Roman" w:hAnsi="Times New Roman"/>
                <w:color w:val="000000"/>
                <w:sz w:val="22"/>
                <w:szCs w:val="22"/>
              </w:rPr>
            </w:pPr>
            <w:r>
              <w:rPr>
                <w:rFonts w:ascii="Times New Roman" w:hAnsi="Times New Roman"/>
                <w:color w:val="000000"/>
                <w:sz w:val="22"/>
                <w:szCs w:val="22"/>
              </w:rPr>
              <w:t>(у т.ч. 582,5 понаднормові)</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2.2</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 при транспортуванні питної води</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589,73</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567,61</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606,28</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3</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Річний обсяг питного водопостачання споживачам:</w:t>
            </w:r>
          </w:p>
          <w:p>
            <w:pPr>
              <w:pStyle w:val="Style20"/>
              <w:jc w:val="end"/>
              <w:rPr>
                <w:rFonts w:ascii="Times New Roman" w:hAnsi="Times New Roman"/>
                <w:color w:val="000000"/>
                <w:sz w:val="24"/>
                <w:szCs w:val="24"/>
              </w:rPr>
            </w:pPr>
            <w:r>
              <w:rPr>
                <w:rFonts w:ascii="Times New Roman" w:hAnsi="Times New Roman"/>
                <w:color w:val="000000"/>
                <w:sz w:val="24"/>
                <w:szCs w:val="24"/>
              </w:rPr>
              <w:t>ВСЬОГО</w:t>
            </w:r>
          </w:p>
          <w:p>
            <w:pPr>
              <w:pStyle w:val="Style20"/>
              <w:jc w:val="end"/>
              <w:rPr>
                <w:rFonts w:ascii="Times New Roman" w:hAnsi="Times New Roman"/>
                <w:color w:val="000000"/>
                <w:sz w:val="24"/>
                <w:szCs w:val="24"/>
              </w:rPr>
            </w:pPr>
            <w:r>
              <w:rPr>
                <w:rFonts w:ascii="Times New Roman" w:hAnsi="Times New Roman"/>
                <w:color w:val="000000"/>
                <w:sz w:val="24"/>
                <w:szCs w:val="24"/>
              </w:rPr>
              <w:t>ПИТНА</w:t>
            </w:r>
          </w:p>
          <w:p>
            <w:pPr>
              <w:pStyle w:val="Style20"/>
              <w:jc w:val="end"/>
              <w:rPr/>
            </w:pPr>
            <w:r>
              <w:rPr>
                <w:rStyle w:val="Style12"/>
                <w:rFonts w:ascii="Times New Roman" w:hAnsi="Times New Roman"/>
                <w:color w:val="000000"/>
                <w:sz w:val="24"/>
                <w:szCs w:val="24"/>
              </w:rPr>
              <w:t>ТЕХНІЧНА</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1546,37</w:t>
            </w:r>
          </w:p>
          <w:p>
            <w:pPr>
              <w:pStyle w:val="Style20"/>
              <w:jc w:val="center"/>
              <w:rPr>
                <w:rFonts w:ascii="Times New Roman" w:hAnsi="Times New Roman"/>
                <w:color w:val="000000"/>
                <w:sz w:val="24"/>
                <w:szCs w:val="24"/>
              </w:rPr>
            </w:pPr>
            <w:r>
              <w:rPr>
                <w:rFonts w:ascii="Times New Roman" w:hAnsi="Times New Roman"/>
                <w:color w:val="000000"/>
                <w:sz w:val="24"/>
                <w:szCs w:val="24"/>
              </w:rPr>
              <w:t>1385,86</w:t>
            </w:r>
          </w:p>
          <w:p>
            <w:pPr>
              <w:pStyle w:val="Style20"/>
              <w:jc w:val="center"/>
              <w:rPr>
                <w:rFonts w:ascii="Times New Roman" w:hAnsi="Times New Roman"/>
                <w:color w:val="000000"/>
                <w:sz w:val="24"/>
                <w:szCs w:val="24"/>
              </w:rPr>
            </w:pPr>
            <w:r>
              <w:rPr>
                <w:rFonts w:ascii="Times New Roman" w:hAnsi="Times New Roman"/>
                <w:color w:val="000000"/>
                <w:sz w:val="24"/>
                <w:szCs w:val="24"/>
              </w:rPr>
              <w:t>160,51</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1174,80</w:t>
            </w:r>
          </w:p>
          <w:p>
            <w:pPr>
              <w:pStyle w:val="Style20"/>
              <w:jc w:val="center"/>
              <w:rPr>
                <w:rFonts w:ascii="Times New Roman" w:hAnsi="Times New Roman"/>
                <w:color w:val="000000"/>
                <w:sz w:val="24"/>
                <w:szCs w:val="24"/>
              </w:rPr>
            </w:pPr>
            <w:r>
              <w:rPr>
                <w:rFonts w:ascii="Times New Roman" w:hAnsi="Times New Roman"/>
                <w:color w:val="000000"/>
                <w:sz w:val="24"/>
                <w:szCs w:val="24"/>
              </w:rPr>
              <w:t>1091,46</w:t>
            </w:r>
          </w:p>
          <w:p>
            <w:pPr>
              <w:pStyle w:val="Style20"/>
              <w:jc w:val="center"/>
              <w:rPr>
                <w:rFonts w:ascii="Times New Roman" w:hAnsi="Times New Roman"/>
                <w:color w:val="000000"/>
                <w:sz w:val="24"/>
                <w:szCs w:val="24"/>
              </w:rPr>
            </w:pPr>
            <w:r>
              <w:rPr>
                <w:rFonts w:ascii="Times New Roman" w:hAnsi="Times New Roman"/>
                <w:color w:val="000000"/>
                <w:sz w:val="24"/>
                <w:szCs w:val="24"/>
              </w:rPr>
              <w:t>83,34</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r>
          </w:p>
          <w:p>
            <w:pPr>
              <w:pStyle w:val="Style20"/>
              <w:jc w:val="center"/>
              <w:rPr>
                <w:rFonts w:ascii="Times New Roman" w:hAnsi="Times New Roman"/>
                <w:color w:val="000000"/>
                <w:sz w:val="24"/>
                <w:szCs w:val="24"/>
              </w:rPr>
            </w:pPr>
            <w:r>
              <w:rPr>
                <w:rFonts w:ascii="Times New Roman" w:hAnsi="Times New Roman"/>
                <w:color w:val="000000"/>
                <w:sz w:val="24"/>
                <w:szCs w:val="24"/>
              </w:rPr>
              <w:t>1230,80</w:t>
            </w:r>
          </w:p>
          <w:p>
            <w:pPr>
              <w:pStyle w:val="Style20"/>
              <w:jc w:val="center"/>
              <w:rPr>
                <w:rFonts w:ascii="Times New Roman" w:hAnsi="Times New Roman"/>
                <w:color w:val="000000"/>
                <w:sz w:val="24"/>
                <w:szCs w:val="24"/>
              </w:rPr>
            </w:pPr>
            <w:r>
              <w:rPr>
                <w:rFonts w:ascii="Times New Roman" w:hAnsi="Times New Roman"/>
                <w:color w:val="000000"/>
                <w:sz w:val="24"/>
                <w:szCs w:val="24"/>
              </w:rPr>
              <w:t>1090,76</w:t>
            </w:r>
          </w:p>
          <w:p>
            <w:pPr>
              <w:pStyle w:val="Style20"/>
              <w:jc w:val="center"/>
              <w:rPr>
                <w:rFonts w:ascii="Times New Roman" w:hAnsi="Times New Roman"/>
                <w:color w:val="000000"/>
                <w:sz w:val="24"/>
                <w:szCs w:val="24"/>
              </w:rPr>
            </w:pPr>
            <w:r>
              <w:rPr>
                <w:rFonts w:ascii="Times New Roman" w:hAnsi="Times New Roman"/>
                <w:color w:val="000000"/>
                <w:sz w:val="24"/>
                <w:szCs w:val="24"/>
              </w:rPr>
              <w:t>140,04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4</w:t>
            </w:r>
          </w:p>
        </w:tc>
        <w:tc>
          <w:tcPr>
            <w:tcW w:w="4834" w:type="dxa"/>
            <w:tcBorders>
              <w:start w:val="single" w:sz="4" w:space="0" w:color="000000"/>
              <w:bottom w:val="single" w:sz="4" w:space="0" w:color="000000"/>
            </w:tcBorders>
          </w:tcPr>
          <w:p>
            <w:pPr>
              <w:pStyle w:val="Style20"/>
              <w:rPr>
                <w:rFonts w:ascii="Times New Roman" w:hAnsi="Times New Roman"/>
                <w:color w:val="000000"/>
                <w:sz w:val="24"/>
                <w:szCs w:val="24"/>
              </w:rPr>
            </w:pPr>
            <w:r>
              <w:rPr>
                <w:rFonts w:ascii="Times New Roman" w:hAnsi="Times New Roman"/>
                <w:color w:val="000000"/>
                <w:sz w:val="24"/>
                <w:szCs w:val="24"/>
              </w:rPr>
              <w:t>Річний обсяг водовідведення</w:t>
            </w:r>
          </w:p>
        </w:tc>
        <w:tc>
          <w:tcPr>
            <w:tcW w:w="136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783,92</w:t>
            </w:r>
          </w:p>
        </w:tc>
        <w:tc>
          <w:tcPr>
            <w:tcW w:w="1305" w:type="dxa"/>
            <w:tcBorders>
              <w:start w:val="single" w:sz="4" w:space="0" w:color="000000"/>
              <w:bottom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677,54</w:t>
            </w:r>
          </w:p>
        </w:tc>
        <w:tc>
          <w:tcPr>
            <w:tcW w:w="165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4"/>
                <w:szCs w:val="24"/>
              </w:rPr>
            </w:pPr>
            <w:r>
              <w:rPr>
                <w:rFonts w:ascii="Times New Roman" w:hAnsi="Times New Roman"/>
                <w:color w:val="000000"/>
                <w:sz w:val="24"/>
                <w:szCs w:val="24"/>
              </w:rPr>
              <w:t>687,02</w:t>
            </w:r>
          </w:p>
        </w:tc>
      </w:tr>
    </w:tbl>
    <w:p>
      <w:pPr>
        <w:pStyle w:val="Normal"/>
        <w:spacing w:before="57" w:after="57"/>
        <w:jc w:val="center"/>
        <w:rPr>
          <w:rFonts w:ascii="Times New Roman" w:hAnsi="Times New Roman"/>
          <w:b/>
          <w:bCs/>
          <w:sz w:val="28"/>
          <w:szCs w:val="28"/>
        </w:rPr>
      </w:pPr>
      <w:r>
        <w:rPr>
          <w:rFonts w:ascii="Times New Roman" w:hAnsi="Times New Roman"/>
          <w:b/>
          <w:bCs/>
          <w:sz w:val="28"/>
          <w:szCs w:val="28"/>
        </w:rPr>
        <w:t>Обсяги постачання води за категоріями споживачів, тис. м³</w:t>
      </w:r>
    </w:p>
    <w:tbl>
      <w:tblPr>
        <w:tblW w:w="5000" w:type="pct"/>
        <w:jc w:val="start"/>
        <w:tblInd w:w="-5" w:type="dxa"/>
        <w:tblLayout w:type="fixed"/>
        <w:tblCellMar>
          <w:top w:w="55" w:type="dxa"/>
          <w:start w:w="55" w:type="dxa"/>
          <w:bottom w:w="55" w:type="dxa"/>
          <w:end w:w="55" w:type="dxa"/>
        </w:tblCellMar>
      </w:tblPr>
      <w:tblGrid>
        <w:gridCol w:w="405"/>
        <w:gridCol w:w="4896"/>
        <w:gridCol w:w="1548"/>
        <w:gridCol w:w="1308"/>
        <w:gridCol w:w="1198"/>
      </w:tblGrid>
      <w:tr>
        <w:trPr>
          <w:trHeight w:val="27" w:hRule="atLeast"/>
        </w:trPr>
        <w:tc>
          <w:tcPr>
            <w:tcW w:w="40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89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54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30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19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4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896"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Побутові споживачі</w:t>
            </w:r>
          </w:p>
        </w:tc>
        <w:tc>
          <w:tcPr>
            <w:tcW w:w="154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1019,2</w:t>
            </w:r>
          </w:p>
        </w:tc>
        <w:tc>
          <w:tcPr>
            <w:tcW w:w="130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864,2</w:t>
            </w:r>
          </w:p>
        </w:tc>
        <w:tc>
          <w:tcPr>
            <w:tcW w:w="119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918,95</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896"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Бюджетні установи</w:t>
            </w:r>
          </w:p>
        </w:tc>
        <w:tc>
          <w:tcPr>
            <w:tcW w:w="154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49,8</w:t>
            </w:r>
          </w:p>
        </w:tc>
        <w:tc>
          <w:tcPr>
            <w:tcW w:w="130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34,4</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39,43</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896"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Інші споживачі</w:t>
            </w:r>
          </w:p>
        </w:tc>
        <w:tc>
          <w:tcPr>
            <w:tcW w:w="154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477,4</w:t>
            </w:r>
          </w:p>
        </w:tc>
        <w:tc>
          <w:tcPr>
            <w:tcW w:w="130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276,2</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272,42</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896"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Загальний обсяг водопостачання</w:t>
            </w:r>
          </w:p>
        </w:tc>
        <w:tc>
          <w:tcPr>
            <w:tcW w:w="154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1546,4</w:t>
            </w:r>
          </w:p>
        </w:tc>
        <w:tc>
          <w:tcPr>
            <w:tcW w:w="1308"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1174,8</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1230,8</w:t>
            </w:r>
          </w:p>
        </w:tc>
      </w:tr>
    </w:tbl>
    <w:p>
      <w:pPr>
        <w:pStyle w:val="Normal"/>
        <w:jc w:val="end"/>
        <w:rPr>
          <w:rFonts w:ascii="Times New Roman" w:hAnsi="Times New Roman"/>
          <w:b/>
          <w:bCs/>
          <w:sz w:val="28"/>
          <w:szCs w:val="28"/>
        </w:rPr>
      </w:pPr>
      <w:r>
        <w:rPr>
          <w:rFonts w:ascii="Times New Roman" w:hAnsi="Times New Roman"/>
          <w:b/>
          <w:bCs/>
          <w:sz w:val="28"/>
          <w:szCs w:val="28"/>
        </w:rPr>
      </w:r>
    </w:p>
    <w:p>
      <w:pPr>
        <w:pStyle w:val="Normal"/>
        <w:jc w:val="end"/>
        <w:rPr>
          <w:rFonts w:ascii="Times New Roman" w:hAnsi="Times New Roman"/>
          <w:b/>
          <w:bCs/>
          <w:sz w:val="28"/>
          <w:szCs w:val="28"/>
        </w:rPr>
      </w:pPr>
      <w:r>
        <w:rPr>
          <w:rFonts w:ascii="Times New Roman" w:hAnsi="Times New Roman"/>
          <w:b/>
          <w:bCs/>
          <w:sz w:val="28"/>
          <w:szCs w:val="28"/>
        </w:rPr>
      </w:r>
    </w:p>
    <w:p>
      <w:pPr>
        <w:pStyle w:val="Normal"/>
        <w:jc w:val="end"/>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Обсяги споживання електричної енергії на централізоване водопостачання і водовідведення, кВт*год</w:t>
      </w:r>
    </w:p>
    <w:tbl>
      <w:tblPr>
        <w:tblW w:w="5000" w:type="pct"/>
        <w:jc w:val="start"/>
        <w:tblInd w:w="-5" w:type="dxa"/>
        <w:tblLayout w:type="fixed"/>
        <w:tblCellMar>
          <w:top w:w="55" w:type="dxa"/>
          <w:start w:w="55" w:type="dxa"/>
          <w:bottom w:w="55" w:type="dxa"/>
          <w:end w:w="55" w:type="dxa"/>
        </w:tblCellMar>
      </w:tblPr>
      <w:tblGrid>
        <w:gridCol w:w="424"/>
        <w:gridCol w:w="5153"/>
        <w:gridCol w:w="1352"/>
        <w:gridCol w:w="1238"/>
        <w:gridCol w:w="1188"/>
      </w:tblGrid>
      <w:tr>
        <w:trPr>
          <w:trHeight w:val="19" w:hRule="atLeast"/>
        </w:trPr>
        <w:tc>
          <w:tcPr>
            <w:tcW w:w="42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w:t>
            </w:r>
          </w:p>
        </w:tc>
        <w:tc>
          <w:tcPr>
            <w:tcW w:w="51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Показник</w:t>
            </w:r>
          </w:p>
        </w:tc>
        <w:tc>
          <w:tcPr>
            <w:tcW w:w="135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23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18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19" w:hRule="atLeast"/>
        </w:trPr>
        <w:tc>
          <w:tcPr>
            <w:tcW w:w="4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5153" w:type="dxa"/>
            <w:tcBorders>
              <w:top w:val="single" w:sz="4" w:space="0" w:color="000000"/>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Електрична енергія, спожита в системі водопостачання, всього</w:t>
            </w:r>
          </w:p>
        </w:tc>
        <w:tc>
          <w:tcPr>
            <w:tcW w:w="135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2 118 295</w:t>
            </w:r>
          </w:p>
        </w:tc>
        <w:tc>
          <w:tcPr>
            <w:tcW w:w="123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2 123 516</w:t>
            </w:r>
          </w:p>
        </w:tc>
        <w:tc>
          <w:tcPr>
            <w:tcW w:w="118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1 780 227</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виробництво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652 501</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584 390</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708 592</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транспортування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1 465 794</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1 539 126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1 071 635</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Електрична енергія, спожита в системі водовідведення, всього</w:t>
            </w:r>
          </w:p>
        </w:tc>
        <w:tc>
          <w:tcPr>
            <w:tcW w:w="1352"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1 095 110</w:t>
            </w:r>
          </w:p>
        </w:tc>
        <w:tc>
          <w:tcPr>
            <w:tcW w:w="1238"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1 091 386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1 118 463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транспортування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118 233</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119 575</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117 490</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2.2</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 на очищення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976 877</w:t>
            </w:r>
          </w:p>
        </w:tc>
        <w:tc>
          <w:tcPr>
            <w:tcW w:w="1238" w:type="dxa"/>
            <w:tcBorders>
              <w:start w:val="single" w:sz="4" w:space="0" w:color="000000"/>
              <w:bottom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971 811</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4"/>
                <w:szCs w:val="24"/>
              </w:rPr>
            </w:pPr>
            <w:r>
              <w:rPr>
                <w:rFonts w:ascii="Times New Roman" w:hAnsi="Times New Roman"/>
                <w:i/>
                <w:iCs/>
                <w:sz w:val="24"/>
                <w:szCs w:val="24"/>
              </w:rPr>
              <w:t>1 000 973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p>
        </w:tc>
        <w:tc>
          <w:tcPr>
            <w:tcW w:w="5153" w:type="dxa"/>
            <w:tcBorders>
              <w:start w:val="single" w:sz="4" w:space="0" w:color="000000"/>
              <w:bottom w:val="single" w:sz="4" w:space="0" w:color="000000"/>
            </w:tcBorders>
          </w:tcPr>
          <w:p>
            <w:pPr>
              <w:pStyle w:val="Style20"/>
              <w:rPr>
                <w:rFonts w:ascii="Times New Roman" w:hAnsi="Times New Roman"/>
                <w:sz w:val="24"/>
                <w:szCs w:val="24"/>
              </w:rPr>
            </w:pPr>
            <w:r>
              <w:rPr>
                <w:rFonts w:ascii="Times New Roman" w:hAnsi="Times New Roman"/>
                <w:sz w:val="24"/>
                <w:szCs w:val="24"/>
              </w:rPr>
              <w:t>Загальне споживання електричної енергії</w:t>
            </w:r>
          </w:p>
        </w:tc>
        <w:tc>
          <w:tcPr>
            <w:tcW w:w="1352"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3 213 405</w:t>
            </w:r>
          </w:p>
        </w:tc>
        <w:tc>
          <w:tcPr>
            <w:tcW w:w="1238"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3 214 902</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2898690</w:t>
            </w:r>
          </w:p>
        </w:tc>
      </w:tr>
    </w:tbl>
    <w:p>
      <w:pPr>
        <w:pStyle w:val="Normal"/>
        <w:jc w:val="end"/>
        <w:rPr>
          <w:rFonts w:ascii="Times New Roman" w:hAnsi="Times New Roman"/>
          <w:b/>
          <w:bCs/>
          <w:sz w:val="28"/>
          <w:szCs w:val="28"/>
        </w:rPr>
      </w:pPr>
      <w:r>
        <w:rPr>
          <w:rFonts w:ascii="Times New Roman" w:hAnsi="Times New Roman"/>
          <w:b/>
          <w:bCs/>
          <w:sz w:val="28"/>
          <w:szCs w:val="28"/>
        </w:rPr>
      </w:r>
    </w:p>
    <w:p>
      <w:pPr>
        <w:pStyle w:val="Normal"/>
        <w:jc w:val="end"/>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Обсяги нарахування коштів за послугу централізованого водопостачання (з ПДВ), тис. грн.</w:t>
      </w:r>
    </w:p>
    <w:tbl>
      <w:tblPr>
        <w:tblW w:w="5000" w:type="pct"/>
        <w:jc w:val="start"/>
        <w:tblInd w:w="-5" w:type="dxa"/>
        <w:tblLayout w:type="fixed"/>
        <w:tblCellMar>
          <w:top w:w="55" w:type="dxa"/>
          <w:start w:w="55" w:type="dxa"/>
          <w:bottom w:w="55" w:type="dxa"/>
          <w:end w:w="55" w:type="dxa"/>
        </w:tblCellMar>
      </w:tblPr>
      <w:tblGrid>
        <w:gridCol w:w="353"/>
        <w:gridCol w:w="4658"/>
        <w:gridCol w:w="1644"/>
        <w:gridCol w:w="1457"/>
        <w:gridCol w:w="1243"/>
      </w:tblGrid>
      <w:tr>
        <w:trPr>
          <w:trHeight w:val="20" w:hRule="atLeast"/>
        </w:trPr>
        <w:tc>
          <w:tcPr>
            <w:tcW w:w="3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65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64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57"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243"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0" w:hRule="atLeast"/>
        </w:trPr>
        <w:tc>
          <w:tcPr>
            <w:tcW w:w="35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658"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Побутові споживачі</w:t>
            </w:r>
          </w:p>
        </w:tc>
        <w:tc>
          <w:tcPr>
            <w:tcW w:w="164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21826,8</w:t>
            </w:r>
          </w:p>
        </w:tc>
        <w:tc>
          <w:tcPr>
            <w:tcW w:w="1457"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18511,68</w:t>
            </w:r>
          </w:p>
        </w:tc>
        <w:tc>
          <w:tcPr>
            <w:tcW w:w="124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19666,5</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65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Бюджетні установи</w:t>
            </w:r>
          </w:p>
        </w:tc>
        <w:tc>
          <w:tcPr>
            <w:tcW w:w="164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1065,72</w:t>
            </w:r>
          </w:p>
        </w:tc>
        <w:tc>
          <w:tcPr>
            <w:tcW w:w="1457"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736,68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844,46</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65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Інші споживачі</w:t>
            </w:r>
          </w:p>
        </w:tc>
        <w:tc>
          <w:tcPr>
            <w:tcW w:w="164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7717,56</w:t>
            </w:r>
          </w:p>
        </w:tc>
        <w:tc>
          <w:tcPr>
            <w:tcW w:w="1457"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5057,28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4395,02</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65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Загальний обсяг нарахувань (водопостачання)</w:t>
            </w:r>
          </w:p>
        </w:tc>
        <w:tc>
          <w:tcPr>
            <w:tcW w:w="164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30610,08</w:t>
            </w:r>
          </w:p>
        </w:tc>
        <w:tc>
          <w:tcPr>
            <w:tcW w:w="1457"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24305,64</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24905,98</w:t>
            </w:r>
          </w:p>
        </w:tc>
      </w:tr>
    </w:tbl>
    <w:p>
      <w:pPr>
        <w:pStyle w:val="Normal"/>
        <w:jc w:val="end"/>
        <w:rPr>
          <w:rFonts w:ascii="Times New Roman" w:hAnsi="Times New Roman"/>
          <w:color w:val="000000"/>
          <w:sz w:val="28"/>
          <w:szCs w:val="28"/>
          <w:shd w:fill="FFFF00" w:val="clear"/>
        </w:rPr>
      </w:pPr>
      <w:r>
        <w:rPr>
          <w:rFonts w:ascii="Times New Roman" w:hAnsi="Times New Roman"/>
          <w:color w:val="000000"/>
          <w:sz w:val="28"/>
          <w:szCs w:val="28"/>
          <w:shd w:fill="FFFF00" w:val="clear"/>
        </w:rPr>
      </w:r>
    </w:p>
    <w:p>
      <w:pPr>
        <w:pStyle w:val="Normal"/>
        <w:spacing w:before="57" w:after="57"/>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Витрати на електричну енергію централізованого водопостачання і водовідведення (з ПДВ), тис. грн.</w:t>
      </w:r>
    </w:p>
    <w:tbl>
      <w:tblPr>
        <w:tblW w:w="5000" w:type="pct"/>
        <w:jc w:val="start"/>
        <w:tblInd w:w="-5" w:type="dxa"/>
        <w:tblLayout w:type="fixed"/>
        <w:tblCellMar>
          <w:top w:w="55" w:type="dxa"/>
          <w:start w:w="55" w:type="dxa"/>
          <w:bottom w:w="55" w:type="dxa"/>
          <w:end w:w="55" w:type="dxa"/>
        </w:tblCellMar>
      </w:tblPr>
      <w:tblGrid>
        <w:gridCol w:w="352"/>
        <w:gridCol w:w="4828"/>
        <w:gridCol w:w="1434"/>
        <w:gridCol w:w="1484"/>
        <w:gridCol w:w="1257"/>
      </w:tblGrid>
      <w:tr>
        <w:trPr>
          <w:trHeight w:val="51" w:hRule="atLeast"/>
        </w:trPr>
        <w:tc>
          <w:tcPr>
            <w:tcW w:w="352"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828"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434"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84"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257"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828"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Електрична енергія</w:t>
            </w:r>
          </w:p>
          <w:p>
            <w:pPr>
              <w:pStyle w:val="Style20"/>
              <w:rPr>
                <w:rFonts w:ascii="Times New Roman" w:hAnsi="Times New Roman"/>
                <w:sz w:val="28"/>
                <w:szCs w:val="28"/>
              </w:rPr>
            </w:pPr>
            <w:r>
              <w:rPr>
                <w:rFonts w:ascii="Times New Roman" w:hAnsi="Times New Roman"/>
                <w:sz w:val="28"/>
                <w:szCs w:val="28"/>
              </w:rPr>
              <w:t>на питне водопостачання</w:t>
            </w:r>
          </w:p>
        </w:tc>
        <w:tc>
          <w:tcPr>
            <w:tcW w:w="143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11901,20</w:t>
            </w:r>
          </w:p>
        </w:tc>
        <w:tc>
          <w:tcPr>
            <w:tcW w:w="148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14423,86</w:t>
            </w:r>
          </w:p>
        </w:tc>
        <w:tc>
          <w:tcPr>
            <w:tcW w:w="125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14211,17</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82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Електрична енергія на водовідведення</w:t>
            </w:r>
          </w:p>
        </w:tc>
        <w:tc>
          <w:tcPr>
            <w:tcW w:w="143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5926,51</w:t>
            </w:r>
          </w:p>
        </w:tc>
        <w:tc>
          <w:tcPr>
            <w:tcW w:w="148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7988,57</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9730,21</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828"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Загальні витрати на електроенергію</w:t>
            </w:r>
          </w:p>
        </w:tc>
        <w:tc>
          <w:tcPr>
            <w:tcW w:w="143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17827,71</w:t>
            </w:r>
          </w:p>
        </w:tc>
        <w:tc>
          <w:tcPr>
            <w:tcW w:w="1484"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22412,43</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23941,38</w:t>
            </w:r>
          </w:p>
        </w:tc>
      </w:tr>
    </w:tbl>
    <w:p>
      <w:pPr>
        <w:pStyle w:val="Normal"/>
        <w:jc w:val="end"/>
        <w:rPr>
          <w:rFonts w:ascii="Times New Roman" w:hAnsi="Times New Roman"/>
          <w:sz w:val="22"/>
          <w:szCs w:val="22"/>
        </w:rPr>
      </w:pPr>
      <w:r>
        <w:rPr>
          <w:rStyle w:val="Style12"/>
          <w:rFonts w:eastAsia="Century Gothic" w:cs="Century Gothic" w:ascii="Times New Roman" w:hAnsi="Times New Roman"/>
          <w:b w:val="false"/>
          <w:bCs w:val="false"/>
          <w:color w:val="000000"/>
          <w:kern w:val="0"/>
          <w:sz w:val="28"/>
          <w:szCs w:val="28"/>
          <w:lang w:eastAsia="uk-UA"/>
        </w:rPr>
        <w:t>Суми з ПДВ (ел.ен.+розподіл+реактивна ел.ен)</w:t>
      </w:r>
    </w:p>
    <w:p>
      <w:pPr>
        <w:pStyle w:val="Normal"/>
        <w:jc w:val="end"/>
        <w:rPr>
          <w:rFonts w:ascii="Times New Roman" w:hAnsi="Times New Roman" w:eastAsia="Century Gothic" w:cs="Century Gothic"/>
          <w:b/>
          <w:bCs/>
          <w:color w:val="000000"/>
          <w:kern w:val="0"/>
          <w:sz w:val="20"/>
          <w:szCs w:val="20"/>
          <w:lang w:eastAsia="uk-UA"/>
        </w:rPr>
      </w:pPr>
      <w:r>
        <w:rPr>
          <w:rFonts w:eastAsia="Century Gothic" w:cs="Century Gothic" w:ascii="Times New Roman" w:hAnsi="Times New Roman"/>
          <w:b/>
          <w:bCs/>
          <w:color w:val="000000"/>
          <w:kern w:val="0"/>
          <w:sz w:val="20"/>
          <w:szCs w:val="20"/>
          <w:lang w:eastAsia="uk-UA"/>
        </w:rPr>
      </w:r>
    </w:p>
    <w:p>
      <w:pPr>
        <w:pStyle w:val="Default"/>
        <w:spacing w:before="57" w:after="57"/>
        <w:jc w:val="center"/>
        <w:rPr>
          <w:rFonts w:ascii="Times New Roman" w:hAnsi="Times New Roman"/>
          <w:sz w:val="28"/>
          <w:szCs w:val="28"/>
        </w:rPr>
      </w:pPr>
      <w:r>
        <w:rPr>
          <w:rFonts w:cs="Century Gothic"/>
          <w:b/>
          <w:bCs/>
          <w:color w:val="auto"/>
          <w:sz w:val="28"/>
          <w:szCs w:val="28"/>
        </w:rPr>
        <w:t xml:space="preserve">Річне споживання палива транспортними засобами за видами палива </w:t>
      </w:r>
      <w:r>
        <w:rPr>
          <w:rFonts w:cs="Century Gothic"/>
          <w:b/>
          <w:bCs/>
          <w:color w:val="auto"/>
          <w:sz w:val="28"/>
          <w:szCs w:val="28"/>
        </w:rPr>
        <w:t>у секторі водопостачання та водовідведення</w:t>
      </w:r>
    </w:p>
    <w:tbl>
      <w:tblPr>
        <w:tblW w:w="9465" w:type="dxa"/>
        <w:jc w:val="start"/>
        <w:tblInd w:w="-103" w:type="dxa"/>
        <w:tblLayout w:type="fixed"/>
        <w:tblCellMar>
          <w:top w:w="55" w:type="dxa"/>
          <w:start w:w="55" w:type="dxa"/>
          <w:bottom w:w="55" w:type="dxa"/>
          <w:end w:w="55" w:type="dxa"/>
        </w:tblCellMar>
      </w:tblPr>
      <w:tblGrid>
        <w:gridCol w:w="2895"/>
        <w:gridCol w:w="2093"/>
        <w:gridCol w:w="1750"/>
        <w:gridCol w:w="1475"/>
        <w:gridCol w:w="1252"/>
      </w:tblGrid>
      <w:tr>
        <w:trPr>
          <w:trHeight w:val="27" w:hRule="atLeast"/>
        </w:trPr>
        <w:tc>
          <w:tcPr>
            <w:tcW w:w="2895"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Вид палива</w:t>
            </w:r>
          </w:p>
        </w:tc>
        <w:tc>
          <w:tcPr>
            <w:tcW w:w="2093"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75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75"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252"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28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Бензин</w:t>
            </w:r>
          </w:p>
        </w:tc>
        <w:tc>
          <w:tcPr>
            <w:tcW w:w="209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10,030</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11,300</w:t>
            </w:r>
          </w:p>
        </w:tc>
        <w:tc>
          <w:tcPr>
            <w:tcW w:w="125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10,910</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Дизель</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18,710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21,290</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28,285</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Скраплений газ</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11,997</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13,551</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13,355</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Стиснений газ (метан)</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r>
      <w:tr>
        <w:trPr>
          <w:trHeight w:val="27" w:hRule="atLeast"/>
        </w:trPr>
        <w:tc>
          <w:tcPr>
            <w:tcW w:w="28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Нафтопродукти (Разом)</w:t>
            </w:r>
          </w:p>
        </w:tc>
        <w:tc>
          <w:tcPr>
            <w:tcW w:w="2093"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МВт*год </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367</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416</w:t>
            </w:r>
          </w:p>
        </w:tc>
        <w:tc>
          <w:tcPr>
            <w:tcW w:w="1252"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482</w:t>
            </w:r>
          </w:p>
        </w:tc>
      </w:tr>
    </w:tbl>
    <w:p>
      <w:pPr>
        <w:pStyle w:val="Normal"/>
        <w:spacing w:lineRule="auto" w:line="259" w:before="0" w:after="0"/>
        <w:jc w:val="end"/>
        <w:rPr>
          <w:rFonts w:ascii="Times New Roman" w:hAnsi="Times New Roman" w:eastAsia="Century Gothic" w:cs="Century Gothic"/>
          <w:b/>
          <w:bCs/>
          <w:color w:val="000000"/>
          <w:kern w:val="0"/>
          <w:sz w:val="20"/>
          <w:szCs w:val="20"/>
          <w:lang w:eastAsia="uk-UA"/>
        </w:rPr>
      </w:pPr>
      <w:r>
        <w:rPr>
          <w:rFonts w:eastAsia="Century Gothic" w:cs="Century Gothic" w:ascii="Times New Roman" w:hAnsi="Times New Roman"/>
          <w:b/>
          <w:bCs/>
          <w:color w:val="000000"/>
          <w:kern w:val="0"/>
          <w:sz w:val="20"/>
          <w:szCs w:val="20"/>
          <w:lang w:eastAsia="uk-UA"/>
        </w:rPr>
      </w:r>
    </w:p>
    <w:p>
      <w:pPr>
        <w:pStyle w:val="Normal"/>
        <w:ind w:firstLine="567"/>
        <w:jc w:val="center"/>
        <w:rPr>
          <w:rFonts w:ascii="Times New Roman" w:hAnsi="Times New Roman"/>
          <w:sz w:val="26"/>
          <w:szCs w:val="26"/>
        </w:rPr>
      </w:pPr>
      <w:bookmarkStart w:id="35" w:name="_Toc184139690"/>
      <w:bookmarkStart w:id="36" w:name="_Toc181742471"/>
      <w:bookmarkStart w:id="37" w:name="_Toc195651485"/>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 Зовнішнє освітлення</w:t>
      </w:r>
      <w:bookmarkEnd w:id="35"/>
      <w:bookmarkEnd w:id="36"/>
      <w:bookmarkEnd w:id="37"/>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Технічн</w:t>
      </w:r>
      <w:r>
        <w:rPr>
          <w:rFonts w:eastAsia="Century Gothic" w:cs="Century Gothic" w:ascii="Times New Roman" w:hAnsi="Times New Roman"/>
          <w:color w:val="000000"/>
          <w:kern w:val="0"/>
          <w:sz w:val="28"/>
          <w:szCs w:val="28"/>
          <w:lang w:eastAsia="uk-UA"/>
        </w:rPr>
        <w:t>е</w:t>
      </w:r>
      <w:r>
        <w:rPr>
          <w:rFonts w:eastAsia="Century Gothic" w:cs="Century Gothic" w:ascii="Times New Roman" w:hAnsi="Times New Roman"/>
          <w:color w:val="000000"/>
          <w:kern w:val="0"/>
          <w:sz w:val="28"/>
          <w:szCs w:val="28"/>
          <w:lang w:eastAsia="uk-UA"/>
        </w:rPr>
        <w:t xml:space="preserve"> обслуговування системи зовнішнього освітлення у </w:t>
      </w:r>
      <w:r>
        <w:rPr>
          <w:rFonts w:eastAsia="Century Gothic" w:cs="Century Gothic" w:ascii="Times New Roman" w:hAnsi="Times New Roman"/>
          <w:color w:val="000000"/>
          <w:kern w:val="0"/>
          <w:sz w:val="28"/>
          <w:szCs w:val="28"/>
          <w:lang w:eastAsia="uk-UA"/>
        </w:rPr>
        <w:t>Покровській міській</w:t>
      </w:r>
      <w:r>
        <w:rPr>
          <w:rFonts w:eastAsia="Century Gothic" w:cs="Century Gothic" w:ascii="Times New Roman" w:hAnsi="Times New Roman"/>
          <w:color w:val="000000"/>
          <w:kern w:val="0"/>
          <w:sz w:val="28"/>
          <w:szCs w:val="28"/>
          <w:lang w:eastAsia="uk-UA"/>
        </w:rPr>
        <w:t xml:space="preserve"> громаді здійснює </w:t>
      </w:r>
      <w:r>
        <w:rPr>
          <w:rFonts w:eastAsia="Century Gothic" w:cs="Century Gothic" w:ascii="Times New Roman" w:hAnsi="Times New Roman"/>
          <w:color w:val="000000"/>
          <w:kern w:val="0"/>
          <w:sz w:val="28"/>
          <w:szCs w:val="28"/>
          <w:lang w:eastAsia="uk-UA"/>
        </w:rPr>
        <w:t>Покровське м</w:t>
      </w:r>
      <w:r>
        <w:rPr>
          <w:rFonts w:eastAsia="Century Gothic" w:cs="Century Gothic" w:ascii="Times New Roman" w:hAnsi="Times New Roman"/>
          <w:color w:val="000000"/>
          <w:kern w:val="0"/>
          <w:sz w:val="28"/>
          <w:szCs w:val="28"/>
          <w:lang w:eastAsia="uk-UA"/>
        </w:rPr>
        <w:t>іське комунальне підприємство «ДОБРОБУТ».</w:t>
      </w:r>
    </w:p>
    <w:p>
      <w:pPr>
        <w:pStyle w:val="Normal"/>
        <w:ind w:firstLine="567"/>
        <w:jc w:val="both"/>
        <w:rPr>
          <w:rFonts w:ascii="Times New Roman" w:hAnsi="Times New Roman"/>
          <w:sz w:val="26"/>
          <w:szCs w:val="26"/>
        </w:rPr>
      </w:pPr>
      <w:r>
        <w:rPr/>
      </w:r>
    </w:p>
    <w:p>
      <w:pPr>
        <w:pStyle w:val="Normal"/>
        <w:spacing w:before="57" w:after="57"/>
        <w:jc w:val="center"/>
        <w:rPr>
          <w:rFonts w:ascii="Times New Roman" w:hAnsi="Times New Roman"/>
          <w:b/>
          <w:bCs/>
          <w:sz w:val="28"/>
          <w:szCs w:val="28"/>
        </w:rPr>
      </w:pPr>
      <w:r>
        <w:rPr>
          <w:rFonts w:ascii="Times New Roman" w:hAnsi="Times New Roman"/>
          <w:b/>
          <w:bCs/>
          <w:sz w:val="28"/>
          <w:szCs w:val="28"/>
        </w:rPr>
        <w:t>Загальна інформація про систему зовнішнього освітлення</w:t>
      </w:r>
    </w:p>
    <w:tbl>
      <w:tblPr>
        <w:tblW w:w="9465" w:type="dxa"/>
        <w:jc w:val="start"/>
        <w:tblInd w:w="-71" w:type="dxa"/>
        <w:tblLayout w:type="fixed"/>
        <w:tblCellMar>
          <w:top w:w="55" w:type="dxa"/>
          <w:start w:w="55" w:type="dxa"/>
          <w:bottom w:w="55" w:type="dxa"/>
          <w:end w:w="55" w:type="dxa"/>
        </w:tblCellMar>
      </w:tblPr>
      <w:tblGrid>
        <w:gridCol w:w="615"/>
        <w:gridCol w:w="6195"/>
        <w:gridCol w:w="1305"/>
        <w:gridCol w:w="1350"/>
      </w:tblGrid>
      <w:tr>
        <w:trPr>
          <w:trHeight w:val="19" w:hRule="atLeast"/>
        </w:trPr>
        <w:tc>
          <w:tcPr>
            <w:tcW w:w="61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w:t>
            </w:r>
          </w:p>
        </w:tc>
        <w:tc>
          <w:tcPr>
            <w:tcW w:w="619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30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350"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Значення</w:t>
            </w:r>
          </w:p>
        </w:tc>
      </w:tr>
      <w:tr>
        <w:trPr>
          <w:trHeight w:val="19" w:hRule="atLeast"/>
        </w:trPr>
        <w:tc>
          <w:tcPr>
            <w:tcW w:w="61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61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Кількість опор зовнішнього освітлення</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523</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Кількість світлоточок (світильників) зовнішнього освітлення</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5870</w:t>
            </w:r>
          </w:p>
        </w:tc>
      </w:tr>
      <w:tr>
        <w:trPr>
          <w:trHeight w:val="617"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Довжина лінії електропередач зовнішнього освітлення, всього</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км</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252</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повітряних ліній</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км</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243</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кабельних ліній</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км</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w:t>
            </w:r>
          </w:p>
        </w:tc>
      </w:tr>
      <w:tr>
        <w:trPr>
          <w:trHeight w:val="19" w:hRule="atLeast"/>
        </w:trPr>
        <w:tc>
          <w:tcPr>
            <w:tcW w:w="61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619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Кількість електричних лічильників</w:t>
            </w:r>
          </w:p>
        </w:tc>
        <w:tc>
          <w:tcPr>
            <w:tcW w:w="130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97</w:t>
            </w:r>
          </w:p>
        </w:tc>
      </w:tr>
      <w:tr>
        <w:trPr>
          <w:trHeight w:val="19" w:hRule="atLeast"/>
        </w:trPr>
        <w:tc>
          <w:tcPr>
            <w:tcW w:w="61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w:t>
            </w:r>
          </w:p>
        </w:tc>
        <w:tc>
          <w:tcPr>
            <w:tcW w:w="61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Кількість шаф управління зовнішнім </w:t>
            </w:r>
            <w:r>
              <w:rPr>
                <w:rFonts w:ascii="Times New Roman" w:hAnsi="Times New Roman"/>
                <w:sz w:val="28"/>
                <w:szCs w:val="28"/>
              </w:rPr>
              <w:t>освітленням</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шт.</w:t>
            </w:r>
          </w:p>
        </w:tc>
        <w:tc>
          <w:tcPr>
            <w:tcW w:w="13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w:t>
            </w:r>
          </w:p>
        </w:tc>
      </w:tr>
    </w:tbl>
    <w:p>
      <w:pPr>
        <w:pStyle w:val="Normal"/>
        <w:spacing w:before="57" w:after="57"/>
        <w:jc w:val="center"/>
        <w:rPr>
          <w:rFonts w:ascii="Times New Roman" w:hAnsi="Times New Roman"/>
          <w:b/>
          <w:bCs/>
          <w:sz w:val="28"/>
          <w:szCs w:val="28"/>
        </w:rPr>
      </w:pPr>
      <w:r>
        <w:rPr>
          <w:rFonts w:ascii="Times New Roman" w:hAnsi="Times New Roman"/>
          <w:b/>
          <w:bCs/>
          <w:sz w:val="28"/>
          <w:szCs w:val="28"/>
        </w:rPr>
        <w:t>Річне споживання енергії об'єктами зовнішнього освітлення, Мвт·год</w:t>
      </w:r>
    </w:p>
    <w:tbl>
      <w:tblPr>
        <w:tblW w:w="9658" w:type="dxa"/>
        <w:jc w:val="start"/>
        <w:tblInd w:w="-93" w:type="dxa"/>
        <w:tblLayout w:type="fixed"/>
        <w:tblCellMar>
          <w:top w:w="55" w:type="dxa"/>
          <w:start w:w="55" w:type="dxa"/>
          <w:bottom w:w="55" w:type="dxa"/>
          <w:end w:w="55" w:type="dxa"/>
        </w:tblCellMar>
      </w:tblPr>
      <w:tblGrid>
        <w:gridCol w:w="2550"/>
        <w:gridCol w:w="2038"/>
        <w:gridCol w:w="1875"/>
        <w:gridCol w:w="1637"/>
        <w:gridCol w:w="1558"/>
      </w:tblGrid>
      <w:tr>
        <w:trPr>
          <w:trHeight w:val="24" w:hRule="atLeast"/>
        </w:trPr>
        <w:tc>
          <w:tcPr>
            <w:tcW w:w="2550"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2038"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87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637"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558"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4" w:hRule="atLeast"/>
        </w:trPr>
        <w:tc>
          <w:tcPr>
            <w:tcW w:w="25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Електрична енергія</w:t>
            </w:r>
          </w:p>
        </w:tc>
        <w:tc>
          <w:tcPr>
            <w:tcW w:w="203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Мв</w:t>
            </w:r>
            <w:r>
              <w:rPr>
                <w:rFonts w:ascii="Times New Roman" w:hAnsi="Times New Roman"/>
                <w:sz w:val="28"/>
                <w:szCs w:val="28"/>
              </w:rPr>
              <w:t>т·год</w:t>
            </w:r>
          </w:p>
        </w:tc>
        <w:tc>
          <w:tcPr>
            <w:tcW w:w="18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648,34</w:t>
            </w:r>
          </w:p>
        </w:tc>
        <w:tc>
          <w:tcPr>
            <w:tcW w:w="1637"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514,37</w:t>
            </w:r>
          </w:p>
        </w:tc>
        <w:tc>
          <w:tcPr>
            <w:tcW w:w="155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566,58</w:t>
            </w:r>
          </w:p>
        </w:tc>
      </w:tr>
    </w:tbl>
    <w:p>
      <w:pPr>
        <w:pStyle w:val="Normal"/>
        <w:tabs>
          <w:tab w:val="clear" w:pos="709"/>
        </w:tabs>
        <w:spacing w:before="160" w:after="0"/>
        <w:ind w:start="360"/>
        <w:jc w:val="end"/>
        <w:rPr>
          <w:rStyle w:val="Style13"/>
          <w:rFonts w:ascii="Times New Roman" w:hAnsi="Times New Roman"/>
          <w:color w:val="000000"/>
          <w:sz w:val="28"/>
          <w:szCs w:val="28"/>
          <w:shd w:fill="FFFF00" w:val="clear"/>
        </w:rPr>
      </w:pPr>
      <w:r>
        <w:rPr/>
      </w:r>
    </w:p>
    <w:p>
      <w:pPr>
        <w:pStyle w:val="Normal"/>
        <w:spacing w:before="57" w:after="57"/>
        <w:jc w:val="center"/>
        <w:rPr>
          <w:rFonts w:ascii="Times New Roman" w:hAnsi="Times New Roman"/>
          <w:b/>
          <w:bCs/>
          <w:color w:val="000000"/>
          <w:sz w:val="28"/>
          <w:szCs w:val="28"/>
        </w:rPr>
      </w:pPr>
      <w:r>
        <w:rPr>
          <w:rFonts w:ascii="Times New Roman" w:hAnsi="Times New Roman"/>
          <w:b/>
          <w:bCs/>
          <w:color w:val="000000"/>
          <w:sz w:val="28"/>
          <w:szCs w:val="28"/>
        </w:rPr>
        <w:t>Витрати коштів на зовнішнє освітлення за напрямками (з ПДВ), тис. грн.</w:t>
      </w:r>
    </w:p>
    <w:tbl>
      <w:tblPr>
        <w:tblW w:w="9775" w:type="dxa"/>
        <w:jc w:val="start"/>
        <w:tblInd w:w="-114" w:type="dxa"/>
        <w:tblLayout w:type="fixed"/>
        <w:tblCellMar>
          <w:top w:w="55" w:type="dxa"/>
          <w:start w:w="55" w:type="dxa"/>
          <w:bottom w:w="55" w:type="dxa"/>
          <w:end w:w="55" w:type="dxa"/>
        </w:tblCellMar>
      </w:tblPr>
      <w:tblGrid>
        <w:gridCol w:w="377"/>
        <w:gridCol w:w="4949"/>
        <w:gridCol w:w="1524"/>
        <w:gridCol w:w="1538"/>
        <w:gridCol w:w="1387"/>
      </w:tblGrid>
      <w:tr>
        <w:trPr>
          <w:trHeight w:val="20" w:hRule="atLeast"/>
        </w:trPr>
        <w:tc>
          <w:tcPr>
            <w:tcW w:w="377"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w:t>
            </w:r>
          </w:p>
        </w:tc>
        <w:tc>
          <w:tcPr>
            <w:tcW w:w="4949"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Показник</w:t>
            </w:r>
          </w:p>
        </w:tc>
        <w:tc>
          <w:tcPr>
            <w:tcW w:w="1524"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538"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387"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0" w:hRule="atLeast"/>
        </w:trPr>
        <w:tc>
          <w:tcPr>
            <w:tcW w:w="377"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949"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Витрати на споживання електроенергії</w:t>
            </w:r>
          </w:p>
        </w:tc>
        <w:tc>
          <w:tcPr>
            <w:tcW w:w="15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4114,4</w:t>
            </w:r>
          </w:p>
        </w:tc>
        <w:tc>
          <w:tcPr>
            <w:tcW w:w="1538"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3777,4</w:t>
            </w:r>
          </w:p>
        </w:tc>
        <w:tc>
          <w:tcPr>
            <w:tcW w:w="138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5446,0</w:t>
            </w:r>
          </w:p>
        </w:tc>
      </w:tr>
    </w:tbl>
    <w:p>
      <w:pPr>
        <w:pStyle w:val="Default"/>
        <w:jc w:val="center"/>
        <w:rPr>
          <w:rFonts w:cs="Century Gothic"/>
          <w:b/>
          <w:bCs/>
          <w:color w:val="auto"/>
          <w:sz w:val="28"/>
          <w:szCs w:val="28"/>
        </w:rPr>
      </w:pPr>
      <w:r>
        <w:rPr/>
      </w:r>
    </w:p>
    <w:p>
      <w:pPr>
        <w:pStyle w:val="Default"/>
        <w:spacing w:before="57" w:after="57"/>
        <w:jc w:val="center"/>
        <w:rPr>
          <w:rFonts w:cs="Century Gothic"/>
          <w:b/>
          <w:bCs/>
          <w:color w:val="auto"/>
          <w:sz w:val="28"/>
          <w:szCs w:val="28"/>
        </w:rPr>
      </w:pPr>
      <w:r>
        <w:rPr>
          <w:rFonts w:cs="Century Gothic"/>
          <w:b/>
          <w:bCs/>
          <w:color w:val="auto"/>
          <w:sz w:val="28"/>
          <w:szCs w:val="28"/>
        </w:rPr>
        <w:t xml:space="preserve">Річне споживання палива транспортними засобами за видами палива </w:t>
      </w:r>
      <w:r>
        <w:rPr>
          <w:rFonts w:cs="Century Gothic"/>
          <w:b/>
          <w:bCs/>
          <w:color w:val="auto"/>
          <w:sz w:val="28"/>
          <w:szCs w:val="28"/>
        </w:rPr>
        <w:t>у секторі зовнішнє освітлення</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14,8</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16,9</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18,4</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44,6</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51,2</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60,0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4,6</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10,8</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7,5</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 xml:space="preserve">МВт*год </w:t>
            </w:r>
          </w:p>
        </w:tc>
        <w:tc>
          <w:tcPr>
            <w:tcW w:w="175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605</w:t>
            </w:r>
          </w:p>
        </w:tc>
        <w:tc>
          <w:tcPr>
            <w:tcW w:w="1475"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731,86</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809,95</w:t>
            </w:r>
          </w:p>
        </w:tc>
      </w:tr>
    </w:tbl>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3</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lang w:eastAsia="uk-UA"/>
        </w:rPr>
        <w:t>5</w:t>
      </w:r>
      <w:r>
        <w:rPr>
          <w:rFonts w:eastAsia="Century Gothic" w:cs="Century Gothic" w:ascii="Times New Roman" w:hAnsi="Times New Roman"/>
          <w:b/>
          <w:bCs/>
          <w:color w:val="000000"/>
          <w:kern w:val="0"/>
          <w:sz w:val="28"/>
          <w:szCs w:val="28"/>
          <w:lang w:eastAsia="uk-UA"/>
        </w:rPr>
        <w:t xml:space="preserve">. </w:t>
      </w:r>
      <w:r>
        <w:rPr>
          <w:rFonts w:eastAsia="Century Gothic" w:cs="Century Gothic" w:ascii="Times New Roman" w:hAnsi="Times New Roman"/>
          <w:b/>
          <w:bCs/>
          <w:color w:val="000000"/>
          <w:kern w:val="0"/>
          <w:sz w:val="28"/>
          <w:szCs w:val="28"/>
          <w:lang w:eastAsia="uk-UA"/>
        </w:rPr>
        <w:t>Теплопостачання</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Теплопостачання у </w:t>
      </w:r>
      <w:r>
        <w:rPr>
          <w:rFonts w:eastAsia="Century Gothic" w:cs="Century Gothic" w:ascii="Times New Roman" w:hAnsi="Times New Roman"/>
          <w:color w:val="000000"/>
          <w:kern w:val="0"/>
          <w:sz w:val="28"/>
          <w:szCs w:val="28"/>
          <w:lang w:eastAsia="uk-UA"/>
        </w:rPr>
        <w:t>громаді</w:t>
      </w:r>
      <w:r>
        <w:rPr>
          <w:rFonts w:eastAsia="Century Gothic" w:cs="Century Gothic" w:ascii="Times New Roman" w:hAnsi="Times New Roman"/>
          <w:color w:val="000000"/>
          <w:kern w:val="0"/>
          <w:sz w:val="28"/>
          <w:szCs w:val="28"/>
          <w:lang w:eastAsia="uk-UA"/>
        </w:rPr>
        <w:t xml:space="preserve"> функціонує на основі використання модульних котелень, які забезпечують опалення соціальної сфери (шкіл, лікарень), тоді як житловий сектор значною мірою перейшов на автономне опалення. </w:t>
      </w:r>
      <w:r>
        <w:rPr>
          <w:rFonts w:eastAsia="Century Gothic" w:cs="Century Gothic" w:ascii="Times New Roman" w:hAnsi="Times New Roman"/>
          <w:color w:val="000000"/>
          <w:kern w:val="0"/>
          <w:sz w:val="28"/>
          <w:szCs w:val="28"/>
          <w:lang w:eastAsia="uk-UA"/>
        </w:rPr>
        <w:t>В</w:t>
      </w:r>
      <w:r>
        <w:rPr>
          <w:rFonts w:eastAsia="Century Gothic" w:cs="Century Gothic" w:ascii="Times New Roman" w:hAnsi="Times New Roman"/>
          <w:color w:val="000000"/>
          <w:kern w:val="0"/>
          <w:sz w:val="28"/>
          <w:szCs w:val="28"/>
          <w:lang w:eastAsia="uk-UA"/>
        </w:rPr>
        <w:t>ласник</w:t>
      </w:r>
      <w:r>
        <w:rPr>
          <w:rFonts w:eastAsia="Century Gothic" w:cs="Century Gothic" w:ascii="Times New Roman" w:hAnsi="Times New Roman"/>
          <w:color w:val="000000"/>
          <w:kern w:val="0"/>
          <w:sz w:val="28"/>
          <w:szCs w:val="28"/>
          <w:lang w:eastAsia="uk-UA"/>
        </w:rPr>
        <w:t xml:space="preserve">и </w:t>
      </w:r>
      <w:r>
        <w:rPr>
          <w:rFonts w:eastAsia="Century Gothic" w:cs="Century Gothic" w:ascii="Times New Roman" w:hAnsi="Times New Roman"/>
          <w:color w:val="000000"/>
          <w:kern w:val="0"/>
          <w:sz w:val="28"/>
          <w:szCs w:val="28"/>
          <w:lang w:eastAsia="uk-UA"/>
        </w:rPr>
        <w:t xml:space="preserve">помешкань </w:t>
      </w:r>
      <w:r>
        <w:rPr>
          <w:rFonts w:eastAsia="Century Gothic" w:cs="Century Gothic" w:ascii="Times New Roman" w:hAnsi="Times New Roman"/>
          <w:color w:val="000000"/>
          <w:kern w:val="0"/>
          <w:sz w:val="28"/>
          <w:szCs w:val="28"/>
          <w:lang w:eastAsia="uk-UA"/>
        </w:rPr>
        <w:t>самостійно забезпечу</w:t>
      </w:r>
      <w:r>
        <w:rPr>
          <w:rFonts w:eastAsia="Century Gothic" w:cs="Century Gothic" w:ascii="Times New Roman" w:hAnsi="Times New Roman"/>
          <w:color w:val="000000"/>
          <w:kern w:val="0"/>
          <w:sz w:val="28"/>
          <w:szCs w:val="28"/>
          <w:lang w:eastAsia="uk-UA"/>
        </w:rPr>
        <w:t>ють</w:t>
      </w:r>
      <w:r>
        <w:rPr>
          <w:rFonts w:eastAsia="Century Gothic" w:cs="Century Gothic" w:ascii="Times New Roman" w:hAnsi="Times New Roman"/>
          <w:color w:val="000000"/>
          <w:kern w:val="0"/>
          <w:sz w:val="28"/>
          <w:szCs w:val="28"/>
          <w:lang w:eastAsia="uk-UA"/>
        </w:rPr>
        <w:t xml:space="preserve"> обігрів квартири або будинку через індивідуальні системи, такі як газові </w:t>
      </w:r>
      <w:r>
        <w:rPr>
          <w:rFonts w:eastAsia="Century Gothic" w:cs="Century Gothic" w:ascii="Times New Roman" w:hAnsi="Times New Roman"/>
          <w:color w:val="000000"/>
          <w:kern w:val="0"/>
          <w:sz w:val="28"/>
          <w:szCs w:val="28"/>
          <w:lang w:eastAsia="uk-UA"/>
        </w:rPr>
        <w:t>або електричні</w:t>
      </w:r>
      <w:r>
        <w:rPr>
          <w:rFonts w:eastAsia="Century Gothic" w:cs="Century Gothic" w:ascii="Times New Roman" w:hAnsi="Times New Roman"/>
          <w:color w:val="000000"/>
          <w:kern w:val="0"/>
          <w:sz w:val="28"/>
          <w:szCs w:val="28"/>
          <w:lang w:eastAsia="uk-UA"/>
        </w:rPr>
        <w:t xml:space="preserve"> котли. Це дозволяє самостійно регулювати температуру та економити.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ТОВ «АТЛАС АКТИВ» та ТОВ «Укртехресурс» є основними постачальниками теплової енергії для бюджетних установ міста.</w:t>
      </w:r>
    </w:p>
    <w:p>
      <w:pPr>
        <w:pStyle w:val="Normal"/>
        <w:spacing w:before="0" w:after="0"/>
        <w:jc w:val="center"/>
        <w:rPr>
          <w:rFonts w:ascii="Times New Roman" w:hAnsi="Times New Roman"/>
          <w:b/>
          <w:sz w:val="28"/>
          <w:szCs w:val="28"/>
        </w:rPr>
      </w:pPr>
      <w:r>
        <w:rPr>
          <w:rFonts w:ascii="Times New Roman" w:hAnsi="Times New Roman"/>
          <w:b/>
          <w:sz w:val="28"/>
          <w:szCs w:val="28"/>
        </w:rPr>
      </w:r>
    </w:p>
    <w:p>
      <w:pPr>
        <w:pStyle w:val="Normal"/>
        <w:spacing w:before="57" w:after="57"/>
        <w:jc w:val="center"/>
        <w:rPr>
          <w:rFonts w:ascii="Times New Roman" w:hAnsi="Times New Roman"/>
          <w:b/>
          <w:sz w:val="28"/>
          <w:szCs w:val="28"/>
        </w:rPr>
      </w:pPr>
      <w:r>
        <w:rPr>
          <w:rFonts w:ascii="Times New Roman" w:hAnsi="Times New Roman"/>
          <w:b/>
          <w:sz w:val="28"/>
          <w:szCs w:val="28"/>
        </w:rPr>
        <w:t>Виробничі показники теплопостачальних підприємств</w:t>
      </w:r>
    </w:p>
    <w:tbl>
      <w:tblPr>
        <w:tblW w:w="9719" w:type="dxa"/>
        <w:jc w:val="start"/>
        <w:tblInd w:w="31" w:type="dxa"/>
        <w:tblLayout w:type="fixed"/>
        <w:tblCellMar>
          <w:top w:w="55" w:type="dxa"/>
          <w:start w:w="55" w:type="dxa"/>
          <w:bottom w:w="55" w:type="dxa"/>
          <w:end w:w="55" w:type="dxa"/>
        </w:tblCellMar>
      </w:tblPr>
      <w:tblGrid>
        <w:gridCol w:w="840"/>
        <w:gridCol w:w="2625"/>
        <w:gridCol w:w="1545"/>
        <w:gridCol w:w="1605"/>
        <w:gridCol w:w="1695"/>
        <w:gridCol w:w="1409"/>
      </w:tblGrid>
      <w:tr>
        <w:trPr>
          <w:trHeight w:val="19" w:hRule="atLeast"/>
        </w:trPr>
        <w:tc>
          <w:tcPr>
            <w:tcW w:w="84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w:t>
            </w:r>
          </w:p>
        </w:tc>
        <w:tc>
          <w:tcPr>
            <w:tcW w:w="262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54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60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69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09"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19" w:hRule="atLeast"/>
        </w:trPr>
        <w:tc>
          <w:tcPr>
            <w:tcW w:w="8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262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Виробництво теплової енергії всього</w:t>
            </w:r>
          </w:p>
        </w:tc>
        <w:tc>
          <w:tcPr>
            <w:tcW w:w="154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top w:val="single" w:sz="4" w:space="0" w:color="000000"/>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3744,42</w:t>
            </w:r>
          </w:p>
        </w:tc>
        <w:tc>
          <w:tcPr>
            <w:tcW w:w="1695" w:type="dxa"/>
            <w:tcBorders>
              <w:top w:val="single" w:sz="4" w:space="0" w:color="000000"/>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9358,43</w:t>
            </w:r>
          </w:p>
        </w:tc>
        <w:tc>
          <w:tcPr>
            <w:tcW w:w="1409" w:type="dxa"/>
            <w:tcBorders>
              <w:top w:val="single" w:sz="4" w:space="0" w:color="000000"/>
              <w:start w:val="single" w:sz="4" w:space="0" w:color="000000"/>
              <w:bottom w:val="single" w:sz="4" w:space="0" w:color="000000"/>
              <w:end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9145,63</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Втрати в мережах</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320,36</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919,41</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602,78</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Корисний відпуск теплової енергії, в т.ч.:</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3464,95</w:t>
            </w:r>
          </w:p>
        </w:tc>
        <w:tc>
          <w:tcPr>
            <w:tcW w:w="1695" w:type="dxa"/>
            <w:tcBorders>
              <w:start w:val="single" w:sz="4" w:space="0" w:color="000000"/>
              <w:bottom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8439,02</w:t>
            </w:r>
          </w:p>
        </w:tc>
        <w:tc>
          <w:tcPr>
            <w:tcW w:w="1409" w:type="dxa"/>
            <w:tcBorders>
              <w:start w:val="single" w:sz="4" w:space="0" w:color="000000"/>
              <w:bottom w:val="single" w:sz="4" w:space="0" w:color="000000"/>
              <w:end w:val="single" w:sz="4" w:space="0" w:color="000000"/>
            </w:tcBorders>
            <w:vAlign w:val="center"/>
          </w:tcPr>
          <w:p>
            <w:pPr>
              <w:pStyle w:val="Style20"/>
              <w:jc w:val="center"/>
              <w:rPr>
                <w:rFonts w:ascii="Times New Roman" w:hAnsi="Times New Roman"/>
                <w:sz w:val="24"/>
                <w:szCs w:val="24"/>
              </w:rPr>
            </w:pPr>
            <w:r>
              <w:rPr>
                <w:rFonts w:ascii="Times New Roman" w:hAnsi="Times New Roman"/>
                <w:sz w:val="24"/>
                <w:szCs w:val="24"/>
              </w:rPr>
              <w:t>8542,85</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3. 1</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Населення</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3.2</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Бюджетна сфера</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3464,95</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8439,02</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8542,85</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3.3</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Інші</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Гкал</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Споживання газу</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т.м3</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9,64</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10,47</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10,93</w:t>
            </w:r>
          </w:p>
        </w:tc>
      </w:tr>
      <w:tr>
        <w:trPr>
          <w:trHeight w:val="19" w:hRule="atLeast"/>
        </w:trPr>
        <w:tc>
          <w:tcPr>
            <w:tcW w:w="8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w:t>
            </w:r>
          </w:p>
        </w:tc>
        <w:tc>
          <w:tcPr>
            <w:tcW w:w="262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Споживання електроенергії</w:t>
            </w:r>
          </w:p>
        </w:tc>
        <w:tc>
          <w:tcPr>
            <w:tcW w:w="154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т.кВт*ч</w:t>
            </w:r>
          </w:p>
        </w:tc>
        <w:tc>
          <w:tcPr>
            <w:tcW w:w="160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62,26</w:t>
            </w:r>
          </w:p>
        </w:tc>
        <w:tc>
          <w:tcPr>
            <w:tcW w:w="16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202,85</w:t>
            </w:r>
          </w:p>
        </w:tc>
        <w:tc>
          <w:tcPr>
            <w:tcW w:w="14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192,09</w:t>
            </w:r>
          </w:p>
        </w:tc>
      </w:tr>
    </w:tbl>
    <w:p>
      <w:pPr>
        <w:pStyle w:val="Normal"/>
        <w:ind w:firstLine="567"/>
        <w:jc w:val="both"/>
        <w:rPr>
          <w:rFonts w:ascii="Times New Roman" w:hAnsi="Times New Roman"/>
          <w:sz w:val="26"/>
          <w:szCs w:val="26"/>
        </w:rPr>
      </w:pPr>
      <w:r>
        <w:rPr/>
      </w:r>
    </w:p>
    <w:p>
      <w:pPr>
        <w:pStyle w:val="Normal"/>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w:t>
      </w:r>
      <w:r>
        <w:rPr>
          <w:rStyle w:val="Style12"/>
          <w:rFonts w:eastAsia="Century Gothic" w:cs="Century Gothic" w:ascii="Times New Roman" w:hAnsi="Times New Roman"/>
          <w:b/>
          <w:bCs/>
          <w:color w:val="000000"/>
          <w:kern w:val="0"/>
          <w:sz w:val="28"/>
          <w:szCs w:val="28"/>
          <w:lang w:eastAsia="uk-UA"/>
        </w:rPr>
        <w:t>6</w:t>
      </w:r>
      <w:r>
        <w:rPr>
          <w:rStyle w:val="Style12"/>
          <w:rFonts w:eastAsia="Century Gothic" w:cs="Century Gothic" w:ascii="Times New Roman" w:hAnsi="Times New Roman"/>
          <w:b/>
          <w:bCs/>
          <w:color w:val="000000"/>
          <w:kern w:val="0"/>
          <w:sz w:val="28"/>
          <w:szCs w:val="28"/>
          <w:lang w:eastAsia="uk-UA"/>
        </w:rPr>
        <w:t>. Транспорт</w:t>
      </w:r>
    </w:p>
    <w:p>
      <w:pPr>
        <w:pStyle w:val="Normal"/>
        <w:ind w:firstLine="567"/>
        <w:jc w:val="both"/>
        <w:rPr>
          <w:rFonts w:ascii="Times New Roman" w:hAnsi="Times New Roman"/>
          <w:sz w:val="26"/>
          <w:szCs w:val="26"/>
        </w:rPr>
      </w:pPr>
      <w:r>
        <w:rPr/>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Покровська громада має добре розвинену транспортну мережу, яка забезпечує зручне сполучення як між населеними пунктами громади, так і з іншими регіонами:</w:t>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 xml:space="preserve">● </w:t>
      </w:r>
      <w:r>
        <w:rPr>
          <w:rStyle w:val="Style12"/>
          <w:rFonts w:eastAsia="Century Gothic" w:cs="Century Gothic" w:ascii="Times New Roman" w:hAnsi="Times New Roman"/>
          <w:color w:val="000000"/>
          <w:kern w:val="0"/>
          <w:sz w:val="28"/>
          <w:szCs w:val="28"/>
          <w:lang w:eastAsia="uk-UA"/>
        </w:rPr>
        <w:t>3 підприємства автомобільного транспорту забезпечують пасажирські перевезення;</w:t>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 xml:space="preserve">● </w:t>
      </w:r>
      <w:r>
        <w:rPr>
          <w:rStyle w:val="Style12"/>
          <w:rFonts w:eastAsia="Century Gothic" w:cs="Century Gothic" w:ascii="Times New Roman" w:hAnsi="Times New Roman"/>
          <w:color w:val="000000"/>
          <w:kern w:val="0"/>
          <w:sz w:val="28"/>
          <w:szCs w:val="28"/>
          <w:lang w:eastAsia="uk-UA"/>
        </w:rPr>
        <w:t xml:space="preserve">1 підприємство залізничного транспорту обслуговує залізничне сполучення. На території громади розташована </w:t>
      </w:r>
      <w:r>
        <w:rPr>
          <w:rStyle w:val="Style12"/>
          <w:rFonts w:eastAsia="Century Gothic" w:cs="Century Gothic" w:ascii="Times New Roman" w:hAnsi="Times New Roman"/>
          <w:color w:val="000000"/>
          <w:kern w:val="0"/>
          <w:sz w:val="28"/>
          <w:szCs w:val="28"/>
          <w:lang w:eastAsia="uk-UA"/>
        </w:rPr>
        <w:t>одна</w:t>
      </w:r>
      <w:r>
        <w:rPr>
          <w:rStyle w:val="Style12"/>
          <w:rFonts w:eastAsia="Century Gothic" w:cs="Century Gothic" w:ascii="Times New Roman" w:hAnsi="Times New Roman"/>
          <w:color w:val="000000"/>
          <w:kern w:val="0"/>
          <w:sz w:val="28"/>
          <w:szCs w:val="28"/>
          <w:lang w:eastAsia="uk-UA"/>
        </w:rPr>
        <w:t xml:space="preserve"> залізнична станція, що забезпечує вихід до національної залізничної мережі.</w:t>
      </w:r>
    </w:p>
    <w:p>
      <w:pPr>
        <w:pStyle w:val="Normal"/>
        <w:ind w:firstLine="567"/>
        <w:jc w:val="both"/>
        <w:rPr>
          <w:rFonts w:ascii="Times New Roman" w:hAnsi="Times New Roman"/>
          <w:sz w:val="26"/>
          <w:szCs w:val="26"/>
        </w:rPr>
      </w:pPr>
      <w:r>
        <w:rPr/>
      </w:r>
    </w:p>
    <w:p>
      <w:pPr>
        <w:pStyle w:val="Normal"/>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w:t>
      </w:r>
      <w:r>
        <w:rPr>
          <w:rStyle w:val="Style12"/>
          <w:rFonts w:eastAsia="Century Gothic" w:cs="Century Gothic" w:ascii="Times New Roman" w:hAnsi="Times New Roman"/>
          <w:b/>
          <w:bCs/>
          <w:color w:val="000000"/>
          <w:kern w:val="0"/>
          <w:sz w:val="28"/>
          <w:szCs w:val="28"/>
          <w:lang w:eastAsia="uk-UA"/>
        </w:rPr>
        <w:t>7</w:t>
      </w:r>
      <w:r>
        <w:rPr>
          <w:rStyle w:val="Style12"/>
          <w:rFonts w:eastAsia="Century Gothic" w:cs="Century Gothic" w:ascii="Times New Roman" w:hAnsi="Times New Roman"/>
          <w:b/>
          <w:bCs/>
          <w:color w:val="000000"/>
          <w:kern w:val="0"/>
          <w:sz w:val="28"/>
          <w:szCs w:val="28"/>
          <w:lang w:eastAsia="uk-UA"/>
        </w:rPr>
        <w:t xml:space="preserve">. </w:t>
      </w:r>
      <w:r>
        <w:rPr>
          <w:rStyle w:val="Style12"/>
          <w:rFonts w:eastAsia="Century Gothic" w:cs="Century Gothic" w:ascii="Times New Roman" w:hAnsi="Times New Roman"/>
          <w:b/>
          <w:bCs/>
          <w:color w:val="000000"/>
          <w:kern w:val="0"/>
          <w:sz w:val="28"/>
          <w:szCs w:val="28"/>
          <w:lang w:eastAsia="uk-UA"/>
        </w:rPr>
        <w:t>У</w:t>
      </w:r>
      <w:r>
        <w:rPr>
          <w:rStyle w:val="Style12"/>
          <w:rFonts w:eastAsia="Century Gothic" w:cs="Century Gothic" w:ascii="Times New Roman" w:hAnsi="Times New Roman"/>
          <w:b/>
          <w:bCs/>
          <w:color w:val="000000"/>
          <w:kern w:val="0"/>
          <w:sz w:val="28"/>
          <w:szCs w:val="28"/>
          <w:lang w:eastAsia="uk-UA"/>
        </w:rPr>
        <w:t>правління відходами</w:t>
      </w:r>
    </w:p>
    <w:p>
      <w:pPr>
        <w:pStyle w:val="Normal"/>
        <w:ind w:firstLine="567"/>
        <w:jc w:val="center"/>
        <w:rPr>
          <w:rFonts w:ascii="Times New Roman" w:hAnsi="Times New Roman"/>
          <w:sz w:val="26"/>
          <w:szCs w:val="26"/>
        </w:rPr>
      </w:pPr>
      <w:r>
        <w:rPr/>
      </w:r>
    </w:p>
    <w:p>
      <w:pPr>
        <w:pStyle w:val="BodyText"/>
        <w:spacing w:before="0" w:after="0"/>
        <w:ind w:hanging="0"/>
        <w:jc w:val="both"/>
        <w:rPr>
          <w:rFonts w:ascii="Times New Roman" w:hAnsi="Times New Roman"/>
          <w:sz w:val="26"/>
          <w:szCs w:val="26"/>
        </w:rPr>
      </w:pPr>
      <w:r>
        <w:rPr>
          <w:rStyle w:val="Style12"/>
          <w:rFonts w:eastAsia="Century Gothic" w:cs="Century Gothic" w:ascii="Times New Roman" w:hAnsi="Times New Roman"/>
          <w:color w:val="000000"/>
          <w:kern w:val="0"/>
          <w:sz w:val="28"/>
          <w:szCs w:val="28"/>
          <w:lang w:eastAsia="uk-UA"/>
        </w:rPr>
        <w:tab/>
        <w:t>Н</w:t>
      </w:r>
      <w:r>
        <w:rPr>
          <w:rStyle w:val="Style12"/>
          <w:rFonts w:eastAsia="Century Gothic" w:cs="Century Gothic" w:ascii="Times New Roman" w:hAnsi="Times New Roman"/>
          <w:color w:val="000000"/>
          <w:kern w:val="0"/>
          <w:sz w:val="28"/>
          <w:szCs w:val="28"/>
          <w:lang w:eastAsia="uk-UA"/>
        </w:rPr>
        <w:t xml:space="preserve">а території </w:t>
      </w:r>
      <w:r>
        <w:rPr>
          <w:rStyle w:val="Style12"/>
          <w:rFonts w:eastAsia="Century Gothic" w:cs="Century Gothic" w:ascii="Times New Roman" w:hAnsi="Times New Roman"/>
          <w:color w:val="000000"/>
          <w:kern w:val="0"/>
          <w:sz w:val="28"/>
          <w:szCs w:val="28"/>
          <w:lang w:eastAsia="uk-UA"/>
        </w:rPr>
        <w:t xml:space="preserve">Покровської міської громади </w:t>
      </w:r>
      <w:r>
        <w:rPr>
          <w:rStyle w:val="Style12"/>
          <w:rFonts w:eastAsia="Century Gothic" w:cs="Century Gothic" w:ascii="Times New Roman" w:hAnsi="Times New Roman"/>
          <w:color w:val="000000"/>
          <w:kern w:val="0"/>
          <w:sz w:val="28"/>
          <w:szCs w:val="28"/>
          <w:lang w:eastAsia="uk-UA"/>
        </w:rPr>
        <w:t xml:space="preserve">послугу з </w:t>
      </w:r>
      <w:r>
        <w:rPr>
          <w:rStyle w:val="Style12"/>
          <w:rFonts w:eastAsia="Century Gothic" w:cs="Century Gothic" w:ascii="Times New Roman" w:hAnsi="Times New Roman"/>
          <w:color w:val="000000"/>
          <w:kern w:val="0"/>
          <w:sz w:val="28"/>
          <w:szCs w:val="28"/>
          <w:lang w:eastAsia="uk-UA"/>
        </w:rPr>
        <w:t>у</w:t>
      </w:r>
      <w:r>
        <w:rPr>
          <w:rStyle w:val="Style12"/>
          <w:rFonts w:eastAsia="Century Gothic" w:cs="Century Gothic" w:ascii="Times New Roman" w:hAnsi="Times New Roman"/>
          <w:color w:val="000000"/>
          <w:kern w:val="0"/>
          <w:sz w:val="28"/>
          <w:szCs w:val="28"/>
          <w:lang w:eastAsia="uk-UA"/>
        </w:rPr>
        <w:t xml:space="preserve">правління побутовими відходами </w:t>
      </w:r>
      <w:r>
        <w:rPr>
          <w:rStyle w:val="Style12"/>
          <w:rFonts w:eastAsia="Century Gothic" w:cs="Century Gothic" w:ascii="Times New Roman" w:hAnsi="Times New Roman"/>
          <w:color w:val="000000"/>
          <w:kern w:val="0"/>
          <w:sz w:val="28"/>
          <w:szCs w:val="28"/>
          <w:lang w:eastAsia="uk-UA"/>
        </w:rPr>
        <w:t>здійснює</w:t>
      </w:r>
      <w:r>
        <w:rPr>
          <w:rStyle w:val="Style12"/>
          <w:rFonts w:eastAsia="Century Gothic" w:cs="Century Gothic" w:ascii="Times New Roman" w:hAnsi="Times New Roman"/>
          <w:color w:val="000000"/>
          <w:kern w:val="0"/>
          <w:sz w:val="28"/>
          <w:szCs w:val="28"/>
          <w:lang w:eastAsia="uk-UA"/>
        </w:rPr>
        <w:t xml:space="preserve"> ТДВ «Дніпрокомунтранс»</w:t>
      </w:r>
      <w:r>
        <w:rPr>
          <w:rStyle w:val="Style12"/>
          <w:rFonts w:eastAsia="Century Gothic" w:cs="Century Gothic" w:ascii="Times New Roman" w:hAnsi="Times New Roman"/>
          <w:color w:val="000000"/>
          <w:kern w:val="0"/>
          <w:sz w:val="28"/>
          <w:szCs w:val="28"/>
          <w:lang w:eastAsia="uk-UA"/>
        </w:rPr>
        <w:t>.</w:t>
      </w:r>
    </w:p>
    <w:p>
      <w:pPr>
        <w:pStyle w:val="Default"/>
        <w:jc w:val="center"/>
        <w:rPr>
          <w:rFonts w:cs="Century Gothic"/>
          <w:b/>
          <w:bCs/>
          <w:color w:val="auto"/>
          <w:sz w:val="22"/>
          <w:szCs w:val="22"/>
          <w:shd w:fill="auto" w:val="clear"/>
        </w:rPr>
      </w:pPr>
      <w:r>
        <w:rPr>
          <w:rFonts w:cs="Century Gothic"/>
          <w:b/>
          <w:bCs/>
          <w:color w:val="auto"/>
          <w:sz w:val="22"/>
          <w:szCs w:val="22"/>
          <w:shd w:fill="auto" w:val="clear"/>
        </w:rPr>
      </w:r>
    </w:p>
    <w:p>
      <w:pPr>
        <w:pStyle w:val="Default"/>
        <w:spacing w:before="57" w:after="57"/>
        <w:jc w:val="center"/>
        <w:rPr>
          <w:rFonts w:cs="Century Gothic"/>
          <w:b/>
          <w:bCs/>
          <w:color w:val="auto"/>
          <w:sz w:val="22"/>
          <w:szCs w:val="22"/>
          <w:shd w:fill="auto" w:val="clear"/>
        </w:rPr>
      </w:pPr>
      <w:r>
        <w:rPr>
          <w:rFonts w:cs="Century Gothic"/>
          <w:b/>
          <w:bCs/>
          <w:color w:val="auto"/>
          <w:sz w:val="22"/>
          <w:szCs w:val="22"/>
          <w:shd w:fill="auto" w:val="clear"/>
        </w:rPr>
        <w:t>Вага утворених побутових відходів, тон</w:t>
      </w:r>
    </w:p>
    <w:tbl>
      <w:tblPr>
        <w:tblW w:w="5000" w:type="pct"/>
        <w:jc w:val="start"/>
        <w:tblInd w:w="-5" w:type="dxa"/>
        <w:tblLayout w:type="fixed"/>
        <w:tblCellMar>
          <w:top w:w="55" w:type="dxa"/>
          <w:start w:w="55" w:type="dxa"/>
          <w:bottom w:w="55" w:type="dxa"/>
          <w:end w:w="55" w:type="dxa"/>
        </w:tblCellMar>
      </w:tblPr>
      <w:tblGrid>
        <w:gridCol w:w="350"/>
        <w:gridCol w:w="1519"/>
        <w:gridCol w:w="1301"/>
        <w:gridCol w:w="855"/>
        <w:gridCol w:w="889"/>
        <w:gridCol w:w="880"/>
        <w:gridCol w:w="883"/>
        <w:gridCol w:w="916"/>
        <w:gridCol w:w="859"/>
        <w:gridCol w:w="903"/>
      </w:tblGrid>
      <w:tr>
        <w:trPr/>
        <w:tc>
          <w:tcPr>
            <w:tcW w:w="35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w:t>
            </w:r>
          </w:p>
        </w:tc>
        <w:tc>
          <w:tcPr>
            <w:tcW w:w="151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Показник</w:t>
            </w:r>
          </w:p>
        </w:tc>
        <w:tc>
          <w:tcPr>
            <w:tcW w:w="130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2017</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2018</w:t>
            </w:r>
          </w:p>
        </w:tc>
        <w:tc>
          <w:tcPr>
            <w:tcW w:w="88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2019</w:t>
            </w:r>
          </w:p>
        </w:tc>
        <w:tc>
          <w:tcPr>
            <w:tcW w:w="88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2020</w:t>
            </w:r>
          </w:p>
        </w:tc>
        <w:tc>
          <w:tcPr>
            <w:tcW w:w="88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lang w:val="en-US"/>
              </w:rPr>
            </w:pPr>
            <w:r>
              <w:rPr>
                <w:rFonts w:ascii="Times New Roman" w:hAnsi="Times New Roman"/>
                <w:b/>
                <w:bCs/>
                <w:sz w:val="18"/>
                <w:szCs w:val="18"/>
                <w:lang w:val="en-US"/>
              </w:rPr>
              <w:t>2021</w:t>
            </w:r>
          </w:p>
        </w:tc>
        <w:tc>
          <w:tcPr>
            <w:tcW w:w="91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2022</w:t>
            </w:r>
          </w:p>
        </w:tc>
        <w:tc>
          <w:tcPr>
            <w:tcW w:w="85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2023</w:t>
            </w:r>
          </w:p>
        </w:tc>
        <w:tc>
          <w:tcPr>
            <w:tcW w:w="90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8"/>
                <w:szCs w:val="18"/>
              </w:rPr>
            </w:pPr>
            <w:r>
              <w:rPr>
                <w:rFonts w:ascii="Times New Roman" w:hAnsi="Times New Roman"/>
                <w:b/>
                <w:bCs/>
                <w:sz w:val="18"/>
                <w:szCs w:val="18"/>
              </w:rPr>
              <w:t>2024</w:t>
            </w:r>
          </w:p>
        </w:tc>
      </w:tr>
      <w:tr>
        <w:trPr/>
        <w:tc>
          <w:tcPr>
            <w:tcW w:w="350" w:type="dxa"/>
            <w:tcBorders>
              <w:start w:val="single" w:sz="4" w:space="0" w:color="000000"/>
              <w:bottom w:val="single" w:sz="4" w:space="0" w:color="000000"/>
            </w:tcBorders>
          </w:tcPr>
          <w:p>
            <w:pPr>
              <w:pStyle w:val="Style20"/>
              <w:jc w:val="center"/>
              <w:rPr>
                <w:rFonts w:ascii="Times New Roman" w:hAnsi="Times New Roman"/>
              </w:rPr>
            </w:pPr>
            <w:r>
              <w:rPr>
                <w:sz w:val="18"/>
                <w:szCs w:val="18"/>
              </w:rPr>
            </w:r>
          </w:p>
        </w:tc>
        <w:tc>
          <w:tcPr>
            <w:tcW w:w="1519" w:type="dxa"/>
            <w:tcBorders>
              <w:start w:val="single" w:sz="4" w:space="0" w:color="000000"/>
              <w:bottom w:val="single" w:sz="4" w:space="0" w:color="000000"/>
            </w:tcBorders>
          </w:tcPr>
          <w:p>
            <w:pPr>
              <w:pStyle w:val="Style20"/>
              <w:jc w:val="center"/>
              <w:rPr>
                <w:sz w:val="18"/>
                <w:szCs w:val="18"/>
              </w:rPr>
            </w:pPr>
            <w:r>
              <w:rPr>
                <w:rFonts w:ascii="Times New Roman" w:hAnsi="Times New Roman"/>
                <w:sz w:val="18"/>
                <w:szCs w:val="18"/>
              </w:rPr>
              <w:t xml:space="preserve">Вага </w:t>
            </w:r>
            <w:r>
              <w:rPr>
                <w:rFonts w:ascii="Times New Roman" w:hAnsi="Times New Roman"/>
                <w:sz w:val="18"/>
                <w:szCs w:val="18"/>
                <w:u w:val="none"/>
                <w:lang w:val="uk-UA"/>
              </w:rPr>
              <w:t>перевезених</w:t>
            </w:r>
            <w:r>
              <w:rPr>
                <w:rFonts w:ascii="Times New Roman" w:hAnsi="Times New Roman"/>
                <w:sz w:val="18"/>
                <w:szCs w:val="18"/>
              </w:rPr>
              <w:t xml:space="preserve"> побутових відходів</w:t>
            </w:r>
            <w:r>
              <w:rPr>
                <w:rFonts w:ascii="Times New Roman" w:hAnsi="Times New Roman"/>
                <w:sz w:val="18"/>
                <w:szCs w:val="18"/>
                <w:lang w:val="ru-RU"/>
              </w:rPr>
              <w:t>:</w:t>
            </w:r>
          </w:p>
        </w:tc>
        <w:tc>
          <w:tcPr>
            <w:tcW w:w="1301"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r>
          </w:p>
          <w:p>
            <w:pPr>
              <w:pStyle w:val="Style20"/>
              <w:jc w:val="center"/>
              <w:rPr>
                <w:rFonts w:ascii="Times New Roman" w:hAnsi="Times New Roman"/>
                <w:b/>
                <w:sz w:val="18"/>
                <w:szCs w:val="18"/>
                <w:lang w:val="ru-RU"/>
              </w:rPr>
            </w:pPr>
            <w:r>
              <w:rPr>
                <w:rFonts w:ascii="Times New Roman" w:hAnsi="Times New Roman"/>
                <w:b/>
                <w:sz w:val="18"/>
                <w:szCs w:val="18"/>
                <w:lang w:val="ru-RU"/>
              </w:rPr>
              <w:t>28843,27</w:t>
            </w:r>
          </w:p>
          <w:p>
            <w:pPr>
              <w:pStyle w:val="Style20"/>
              <w:jc w:val="center"/>
              <w:rPr>
                <w:rFonts w:ascii="Times New Roman" w:hAnsi="Times New Roman"/>
                <w:b/>
                <w:sz w:val="18"/>
                <w:szCs w:val="18"/>
                <w:lang w:val="ru-RU"/>
              </w:rPr>
            </w:pPr>
            <w:r>
              <w:rPr>
                <w:rFonts w:ascii="Times New Roman" w:hAnsi="Times New Roman"/>
                <w:b/>
                <w:sz w:val="18"/>
                <w:szCs w:val="18"/>
                <w:lang w:val="ru-RU"/>
              </w:rPr>
              <w:t>(Саночистка)</w:t>
            </w:r>
          </w:p>
        </w:tc>
        <w:tc>
          <w:tcPr>
            <w:tcW w:w="855"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t xml:space="preserve">28272,81 </w:t>
            </w:r>
          </w:p>
          <w:p>
            <w:pPr>
              <w:pStyle w:val="Style20"/>
              <w:jc w:val="center"/>
              <w:rPr>
                <w:rFonts w:ascii="Times New Roman" w:hAnsi="Times New Roman"/>
                <w:b/>
                <w:sz w:val="18"/>
                <w:szCs w:val="18"/>
                <w:lang w:val="ru-RU"/>
              </w:rPr>
            </w:pPr>
            <w:r>
              <w:rPr>
                <w:rFonts w:ascii="Times New Roman" w:hAnsi="Times New Roman"/>
                <w:b/>
                <w:sz w:val="18"/>
                <w:szCs w:val="18"/>
                <w:lang w:val="ru-RU"/>
              </w:rPr>
              <w:t>(ДКТ з серпня)</w:t>
            </w:r>
          </w:p>
        </w:tc>
        <w:tc>
          <w:tcPr>
            <w:tcW w:w="889"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t>59402,17</w:t>
            </w:r>
          </w:p>
        </w:tc>
        <w:tc>
          <w:tcPr>
            <w:tcW w:w="880" w:type="dxa"/>
            <w:tcBorders>
              <w:start w:val="single" w:sz="4" w:space="0" w:color="000000"/>
              <w:bottom w:val="single" w:sz="4" w:space="0" w:color="000000"/>
            </w:tcBorders>
          </w:tcPr>
          <w:p>
            <w:pPr>
              <w:pStyle w:val="Style20"/>
              <w:jc w:val="center"/>
              <w:rPr>
                <w:rFonts w:ascii="Times New Roman" w:hAnsi="Times New Roman"/>
                <w:b/>
                <w:sz w:val="18"/>
                <w:szCs w:val="18"/>
                <w:lang w:val="ru-RU"/>
              </w:rPr>
            </w:pPr>
            <w:r>
              <w:rPr>
                <w:rFonts w:ascii="Times New Roman" w:hAnsi="Times New Roman"/>
                <w:b/>
                <w:sz w:val="18"/>
                <w:szCs w:val="18"/>
                <w:lang w:val="ru-RU"/>
              </w:rPr>
              <w:t>76827,07</w:t>
            </w:r>
          </w:p>
        </w:tc>
        <w:tc>
          <w:tcPr>
            <w:tcW w:w="883" w:type="dxa"/>
            <w:tcBorders>
              <w:start w:val="single" w:sz="4" w:space="0" w:color="000000"/>
              <w:bottom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89212,67</w:t>
            </w:r>
          </w:p>
        </w:tc>
        <w:tc>
          <w:tcPr>
            <w:tcW w:w="916" w:type="dxa"/>
            <w:tcBorders>
              <w:start w:val="single" w:sz="4" w:space="0" w:color="000000"/>
              <w:bottom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92574,99</w:t>
            </w:r>
          </w:p>
        </w:tc>
        <w:tc>
          <w:tcPr>
            <w:tcW w:w="859" w:type="dxa"/>
            <w:tcBorders>
              <w:start w:val="single" w:sz="4" w:space="0" w:color="000000"/>
              <w:bottom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90293,75</w:t>
            </w:r>
          </w:p>
        </w:tc>
        <w:tc>
          <w:tcPr>
            <w:tcW w:w="903" w:type="dxa"/>
            <w:tcBorders>
              <w:start w:val="single" w:sz="4" w:space="0" w:color="000000"/>
              <w:bottom w:val="single" w:sz="4" w:space="0" w:color="000000"/>
              <w:end w:val="single" w:sz="4" w:space="0" w:color="000000"/>
            </w:tcBorders>
          </w:tcPr>
          <w:p>
            <w:pPr>
              <w:pStyle w:val="Style20"/>
              <w:jc w:val="center"/>
              <w:rPr>
                <w:rFonts w:ascii="Times New Roman" w:hAnsi="Times New Roman"/>
                <w:b/>
                <w:sz w:val="18"/>
                <w:szCs w:val="18"/>
              </w:rPr>
            </w:pPr>
            <w:r>
              <w:rPr>
                <w:rFonts w:ascii="Times New Roman" w:hAnsi="Times New Roman"/>
                <w:b/>
                <w:sz w:val="18"/>
                <w:szCs w:val="18"/>
              </w:rPr>
              <w:t>87834,46</w:t>
            </w:r>
          </w:p>
        </w:tc>
      </w:tr>
      <w:tr>
        <w:trPr/>
        <w:tc>
          <w:tcPr>
            <w:tcW w:w="350" w:type="dxa"/>
            <w:tcBorders>
              <w:start w:val="single" w:sz="4" w:space="0" w:color="000000"/>
              <w:bottom w:val="single" w:sz="4" w:space="0" w:color="000000"/>
            </w:tcBorders>
          </w:tcPr>
          <w:p>
            <w:pPr>
              <w:pStyle w:val="Style20"/>
              <w:jc w:val="center"/>
              <w:rPr>
                <w:rFonts w:ascii="Times New Roman" w:hAnsi="Times New Roman" w:eastAsia="Century Gothic" w:cs="Century Gothic"/>
                <w:sz w:val="18"/>
                <w:szCs w:val="18"/>
              </w:rPr>
            </w:pPr>
            <w:r>
              <w:rPr>
                <w:rFonts w:eastAsia="Century Gothic" w:cs="Century Gothic" w:ascii="Times New Roman" w:hAnsi="Times New Roman"/>
                <w:sz w:val="18"/>
                <w:szCs w:val="18"/>
              </w:rPr>
              <w:t>1</w:t>
            </w:r>
          </w:p>
        </w:tc>
        <w:tc>
          <w:tcPr>
            <w:tcW w:w="1519" w:type="dxa"/>
            <w:tcBorders>
              <w:start w:val="single" w:sz="4" w:space="0" w:color="000000"/>
              <w:bottom w:val="single" w:sz="4" w:space="0" w:color="000000"/>
            </w:tcBorders>
          </w:tcPr>
          <w:p>
            <w:pPr>
              <w:pStyle w:val="Style20"/>
              <w:rPr>
                <w:sz w:val="18"/>
                <w:szCs w:val="18"/>
              </w:rPr>
            </w:pPr>
            <w:r>
              <w:rPr>
                <w:rFonts w:ascii="Times New Roman" w:hAnsi="Times New Roman"/>
                <w:i/>
                <w:sz w:val="18"/>
                <w:szCs w:val="18"/>
                <w:lang w:val="ru-RU"/>
              </w:rPr>
              <w:t>Зм</w:t>
            </w:r>
            <w:r>
              <w:rPr>
                <w:rFonts w:ascii="Times New Roman" w:hAnsi="Times New Roman"/>
                <w:i/>
                <w:sz w:val="18"/>
                <w:szCs w:val="18"/>
              </w:rPr>
              <w:t>ішані ТПВ</w:t>
            </w:r>
          </w:p>
        </w:tc>
        <w:tc>
          <w:tcPr>
            <w:tcW w:w="1301"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r>
          </w:p>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855"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 xml:space="preserve">25948,13 </w:t>
            </w:r>
          </w:p>
          <w:p>
            <w:pPr>
              <w:pStyle w:val="Style20"/>
              <w:jc w:val="center"/>
              <w:rPr>
                <w:rFonts w:ascii="Times New Roman" w:hAnsi="Times New Roman"/>
                <w:sz w:val="18"/>
                <w:szCs w:val="18"/>
                <w:lang w:val="ru-RU"/>
              </w:rPr>
            </w:pPr>
            <w:r>
              <w:rPr>
                <w:rFonts w:ascii="Times New Roman" w:hAnsi="Times New Roman"/>
                <w:sz w:val="18"/>
                <w:szCs w:val="18"/>
                <w:lang w:val="ru-RU"/>
              </w:rPr>
              <w:t>(ДКТ )</w:t>
            </w:r>
          </w:p>
        </w:tc>
        <w:tc>
          <w:tcPr>
            <w:tcW w:w="889"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54449,05</w:t>
            </w:r>
          </w:p>
        </w:tc>
        <w:tc>
          <w:tcPr>
            <w:tcW w:w="880"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72240,80</w:t>
            </w:r>
          </w:p>
        </w:tc>
        <w:tc>
          <w:tcPr>
            <w:tcW w:w="883"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84627,44</w:t>
            </w:r>
          </w:p>
        </w:tc>
        <w:tc>
          <w:tcPr>
            <w:tcW w:w="916"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85425,51</w:t>
            </w:r>
          </w:p>
        </w:tc>
        <w:tc>
          <w:tcPr>
            <w:tcW w:w="859"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86737,47</w:t>
            </w:r>
          </w:p>
        </w:tc>
        <w:tc>
          <w:tcPr>
            <w:tcW w:w="903" w:type="dxa"/>
            <w:tcBorders>
              <w:start w:val="single" w:sz="4" w:space="0" w:color="000000"/>
              <w:bottom w:val="single" w:sz="4" w:space="0" w:color="000000"/>
              <w:end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87834,46</w:t>
            </w:r>
          </w:p>
        </w:tc>
      </w:tr>
      <w:tr>
        <w:trPr/>
        <w:tc>
          <w:tcPr>
            <w:tcW w:w="350" w:type="dxa"/>
            <w:tcBorders>
              <w:start w:val="single" w:sz="4" w:space="0" w:color="000000"/>
              <w:bottom w:val="single" w:sz="4" w:space="0" w:color="000000"/>
            </w:tcBorders>
          </w:tcPr>
          <w:p>
            <w:pPr>
              <w:pStyle w:val="Style20"/>
              <w:jc w:val="center"/>
              <w:rPr>
                <w:rFonts w:ascii="Times New Roman" w:hAnsi="Times New Roman" w:eastAsia="Century Gothic" w:cs="Century Gothic"/>
                <w:sz w:val="18"/>
                <w:szCs w:val="18"/>
              </w:rPr>
            </w:pPr>
            <w:r>
              <w:rPr>
                <w:rFonts w:eastAsia="Century Gothic" w:cs="Century Gothic" w:ascii="Times New Roman" w:hAnsi="Times New Roman"/>
                <w:sz w:val="18"/>
                <w:szCs w:val="18"/>
              </w:rPr>
              <w:t>2</w:t>
            </w:r>
          </w:p>
        </w:tc>
        <w:tc>
          <w:tcPr>
            <w:tcW w:w="1519" w:type="dxa"/>
            <w:tcBorders>
              <w:start w:val="single" w:sz="4" w:space="0" w:color="000000"/>
              <w:bottom w:val="single" w:sz="4" w:space="0" w:color="000000"/>
            </w:tcBorders>
          </w:tcPr>
          <w:p>
            <w:pPr>
              <w:pStyle w:val="Style20"/>
              <w:rPr>
                <w:rFonts w:ascii="Times New Roman" w:hAnsi="Times New Roman"/>
                <w:i/>
                <w:sz w:val="18"/>
                <w:szCs w:val="18"/>
              </w:rPr>
            </w:pPr>
            <w:r>
              <w:rPr>
                <w:rFonts w:ascii="Times New Roman" w:hAnsi="Times New Roman"/>
                <w:i/>
                <w:sz w:val="18"/>
                <w:szCs w:val="18"/>
              </w:rPr>
              <w:t>Великогабаритні ТПВ</w:t>
            </w:r>
          </w:p>
        </w:tc>
        <w:tc>
          <w:tcPr>
            <w:tcW w:w="1301"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855"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2324,68</w:t>
            </w:r>
          </w:p>
          <w:p>
            <w:pPr>
              <w:pStyle w:val="Style20"/>
              <w:jc w:val="center"/>
              <w:rPr>
                <w:rFonts w:ascii="Times New Roman" w:hAnsi="Times New Roman"/>
                <w:sz w:val="18"/>
                <w:szCs w:val="18"/>
                <w:lang w:val="ru-RU"/>
              </w:rPr>
            </w:pPr>
            <w:r>
              <w:rPr>
                <w:rFonts w:ascii="Times New Roman" w:hAnsi="Times New Roman"/>
                <w:sz w:val="18"/>
                <w:szCs w:val="18"/>
                <w:lang w:val="ru-RU"/>
              </w:rPr>
              <w:t>(ДКТ)</w:t>
            </w:r>
          </w:p>
        </w:tc>
        <w:tc>
          <w:tcPr>
            <w:tcW w:w="889"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4953,12</w:t>
            </w:r>
          </w:p>
        </w:tc>
        <w:tc>
          <w:tcPr>
            <w:tcW w:w="880" w:type="dxa"/>
            <w:tcBorders>
              <w:start w:val="single" w:sz="4" w:space="0" w:color="000000"/>
              <w:bottom w:val="single" w:sz="4" w:space="0" w:color="000000"/>
            </w:tcBorders>
          </w:tcPr>
          <w:p>
            <w:pPr>
              <w:pStyle w:val="Style20"/>
              <w:jc w:val="center"/>
              <w:rPr>
                <w:rFonts w:ascii="Times New Roman" w:hAnsi="Times New Roman"/>
                <w:sz w:val="18"/>
                <w:szCs w:val="18"/>
                <w:lang w:val="ru-RU"/>
              </w:rPr>
            </w:pPr>
            <w:r>
              <w:rPr>
                <w:rFonts w:ascii="Times New Roman" w:hAnsi="Times New Roman"/>
                <w:sz w:val="18"/>
                <w:szCs w:val="18"/>
                <w:lang w:val="ru-RU"/>
              </w:rPr>
              <w:t>4586,27</w:t>
            </w:r>
          </w:p>
        </w:tc>
        <w:tc>
          <w:tcPr>
            <w:tcW w:w="883"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4585,23</w:t>
            </w:r>
          </w:p>
        </w:tc>
        <w:tc>
          <w:tcPr>
            <w:tcW w:w="916"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7149,48</w:t>
            </w:r>
          </w:p>
        </w:tc>
        <w:tc>
          <w:tcPr>
            <w:tcW w:w="859" w:type="dxa"/>
            <w:tcBorders>
              <w:start w:val="single" w:sz="4" w:space="0" w:color="000000"/>
              <w:bottom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3556,28</w:t>
            </w:r>
          </w:p>
        </w:tc>
        <w:tc>
          <w:tcPr>
            <w:tcW w:w="903" w:type="dxa"/>
            <w:tcBorders>
              <w:start w:val="single" w:sz="4" w:space="0" w:color="000000"/>
              <w:bottom w:val="single" w:sz="4" w:space="0" w:color="000000"/>
              <w:end w:val="single" w:sz="4" w:space="0" w:color="000000"/>
            </w:tcBorders>
          </w:tcPr>
          <w:p>
            <w:pPr>
              <w:pStyle w:val="Style20"/>
              <w:jc w:val="center"/>
              <w:rPr>
                <w:rFonts w:ascii="Times New Roman" w:hAnsi="Times New Roman"/>
                <w:i/>
                <w:sz w:val="18"/>
                <w:szCs w:val="18"/>
              </w:rPr>
            </w:pPr>
            <w:r>
              <w:rPr>
                <w:rFonts w:ascii="Times New Roman" w:hAnsi="Times New Roman"/>
                <w:i/>
                <w:sz w:val="18"/>
                <w:szCs w:val="18"/>
              </w:rPr>
              <w:t>-</w:t>
            </w:r>
          </w:p>
        </w:tc>
      </w:tr>
    </w:tbl>
    <w:p>
      <w:pPr>
        <w:pStyle w:val="Default"/>
        <w:jc w:val="center"/>
        <w:rPr>
          <w:rFonts w:cs="Century Gothic"/>
          <w:color w:val="auto"/>
          <w:sz w:val="22"/>
          <w:szCs w:val="22"/>
        </w:rPr>
      </w:pPr>
      <w:r>
        <w:rPr>
          <w:rFonts w:cs="Century Gothic"/>
          <w:color w:val="auto"/>
          <w:sz w:val="22"/>
          <w:szCs w:val="22"/>
        </w:rPr>
      </w:r>
    </w:p>
    <w:p>
      <w:pPr>
        <w:pStyle w:val="Default"/>
        <w:spacing w:before="57" w:after="57"/>
        <w:jc w:val="center"/>
        <w:rPr>
          <w:rFonts w:cs="Century Gothic"/>
          <w:b/>
          <w:bCs/>
          <w:color w:val="auto"/>
          <w:sz w:val="24"/>
          <w:szCs w:val="24"/>
        </w:rPr>
      </w:pPr>
      <w:r>
        <w:rPr>
          <w:rFonts w:cs="Century Gothic"/>
          <w:b/>
          <w:bCs/>
          <w:color w:val="auto"/>
          <w:sz w:val="24"/>
          <w:szCs w:val="24"/>
        </w:rPr>
        <w:t>Річне споживання палива транспортом у секторі управління відходами</w:t>
      </w:r>
    </w:p>
    <w:tbl>
      <w:tblPr>
        <w:tblW w:w="5000" w:type="pct"/>
        <w:jc w:val="start"/>
        <w:tblInd w:w="-5" w:type="dxa"/>
        <w:tblLayout w:type="fixed"/>
        <w:tblCellMar>
          <w:top w:w="55" w:type="dxa"/>
          <w:start w:w="55" w:type="dxa"/>
          <w:bottom w:w="55" w:type="dxa"/>
          <w:end w:w="55" w:type="dxa"/>
        </w:tblCellMar>
      </w:tblPr>
      <w:tblGrid>
        <w:gridCol w:w="1520"/>
        <w:gridCol w:w="851"/>
        <w:gridCol w:w="765"/>
        <w:gridCol w:w="868"/>
        <w:gridCol w:w="825"/>
        <w:gridCol w:w="922"/>
        <w:gridCol w:w="921"/>
        <w:gridCol w:w="881"/>
        <w:gridCol w:w="917"/>
        <w:gridCol w:w="885"/>
      </w:tblGrid>
      <w:tr>
        <w:trPr/>
        <w:tc>
          <w:tcPr>
            <w:tcW w:w="152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Вид палива</w:t>
            </w:r>
          </w:p>
        </w:tc>
        <w:tc>
          <w:tcPr>
            <w:tcW w:w="85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Од. вим.</w:t>
            </w:r>
          </w:p>
        </w:tc>
        <w:tc>
          <w:tcPr>
            <w:tcW w:w="76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2017</w:t>
            </w:r>
          </w:p>
        </w:tc>
        <w:tc>
          <w:tcPr>
            <w:tcW w:w="86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2018</w:t>
            </w:r>
          </w:p>
        </w:tc>
        <w:tc>
          <w:tcPr>
            <w:tcW w:w="8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2019</w:t>
            </w:r>
          </w:p>
        </w:tc>
        <w:tc>
          <w:tcPr>
            <w:tcW w:w="92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2020</w:t>
            </w:r>
          </w:p>
        </w:tc>
        <w:tc>
          <w:tcPr>
            <w:tcW w:w="92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lang w:val="en-US"/>
              </w:rPr>
            </w:pPr>
            <w:r>
              <w:rPr>
                <w:rFonts w:ascii="Times New Roman" w:hAnsi="Times New Roman"/>
                <w:b/>
                <w:bCs/>
                <w:sz w:val="20"/>
                <w:szCs w:val="20"/>
                <w:lang w:val="en-US"/>
              </w:rPr>
              <w:t>2021</w:t>
            </w:r>
          </w:p>
        </w:tc>
        <w:tc>
          <w:tcPr>
            <w:tcW w:w="88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2022</w:t>
            </w:r>
          </w:p>
        </w:tc>
        <w:tc>
          <w:tcPr>
            <w:tcW w:w="91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2023</w:t>
            </w:r>
          </w:p>
        </w:tc>
        <w:tc>
          <w:tcPr>
            <w:tcW w:w="88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2024</w:t>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Бензин</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68"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2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2"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17"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Дизель</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31,28</w:t>
            </w:r>
          </w:p>
        </w:tc>
        <w:tc>
          <w:tcPr>
            <w:tcW w:w="86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76,21</w:t>
            </w:r>
          </w:p>
        </w:tc>
        <w:tc>
          <w:tcPr>
            <w:tcW w:w="8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80,48</w:t>
            </w:r>
          </w:p>
        </w:tc>
        <w:tc>
          <w:tcPr>
            <w:tcW w:w="92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75,72</w:t>
            </w:r>
          </w:p>
        </w:tc>
        <w:tc>
          <w:tcPr>
            <w:tcW w:w="92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72,27</w:t>
            </w:r>
          </w:p>
        </w:tc>
        <w:tc>
          <w:tcPr>
            <w:tcW w:w="8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65,67</w:t>
            </w:r>
          </w:p>
        </w:tc>
        <w:tc>
          <w:tcPr>
            <w:tcW w:w="917"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56,20</w:t>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49,78</w:t>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Скраплений газ</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68"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2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2"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17"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Стиснений газ (метан)</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тис. л</w:t>
            </w:r>
          </w:p>
        </w:tc>
        <w:tc>
          <w:tcPr>
            <w:tcW w:w="76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68"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25"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2"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2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1"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917" w:type="dxa"/>
            <w:tcBorders>
              <w:start w:val="single" w:sz="4" w:space="0" w:color="000000"/>
              <w:bottom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Times New Roman"/>
              </w:rPr>
            </w:pPr>
            <w:r>
              <w:rPr>
                <w:rFonts w:eastAsia="Century Gothic" w:cs="Times New Roman" w:ascii="Times New Roman" w:hAnsi="Times New Roman"/>
              </w:rPr>
            </w:r>
          </w:p>
        </w:tc>
      </w:tr>
      <w:tr>
        <w:trPr/>
        <w:tc>
          <w:tcPr>
            <w:tcW w:w="152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Нафтопродукти (Разом)</w:t>
            </w:r>
          </w:p>
        </w:tc>
        <w:tc>
          <w:tcPr>
            <w:tcW w:w="85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МВт*год </w:t>
            </w:r>
          </w:p>
        </w:tc>
        <w:tc>
          <w:tcPr>
            <w:tcW w:w="765"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316</w:t>
            </w:r>
            <w:r>
              <w:rPr>
                <w:rFonts w:ascii="Times New Roman" w:hAnsi="Times New Roman"/>
                <w:color w:val="000000"/>
                <w:sz w:val="20"/>
                <w:szCs w:val="20"/>
                <w:shd w:fill="auto" w:val="clear"/>
              </w:rPr>
              <w:t>,</w:t>
            </w:r>
            <w:r>
              <w:rPr>
                <w:rFonts w:ascii="Times New Roman" w:hAnsi="Times New Roman"/>
                <w:color w:val="000000"/>
                <w:sz w:val="20"/>
                <w:szCs w:val="20"/>
                <w:shd w:fill="auto" w:val="clear"/>
              </w:rPr>
              <w:t>397</w:t>
            </w:r>
          </w:p>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r>
          </w:p>
        </w:tc>
        <w:tc>
          <w:tcPr>
            <w:tcW w:w="868"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770,86</w:t>
            </w:r>
          </w:p>
        </w:tc>
        <w:tc>
          <w:tcPr>
            <w:tcW w:w="825"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814,06</w:t>
            </w:r>
          </w:p>
        </w:tc>
        <w:tc>
          <w:tcPr>
            <w:tcW w:w="922"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765,91</w:t>
            </w:r>
          </w:p>
        </w:tc>
        <w:tc>
          <w:tcPr>
            <w:tcW w:w="921"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731,01</w:t>
            </w:r>
          </w:p>
        </w:tc>
        <w:tc>
          <w:tcPr>
            <w:tcW w:w="881"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664,25</w:t>
            </w:r>
          </w:p>
        </w:tc>
        <w:tc>
          <w:tcPr>
            <w:tcW w:w="917" w:type="dxa"/>
            <w:tcBorders>
              <w:start w:val="single" w:sz="4" w:space="0" w:color="000000"/>
              <w:bottom w:val="single" w:sz="4" w:space="0" w:color="000000"/>
            </w:tcBorders>
          </w:tcPr>
          <w:p>
            <w:pPr>
              <w:pStyle w:val="Style20"/>
              <w:jc w:val="center"/>
              <w:rPr>
                <w:rFonts w:ascii="Times New Roman" w:hAnsi="Times New Roman"/>
                <w:color w:val="000000"/>
                <w:sz w:val="20"/>
                <w:szCs w:val="20"/>
                <w:shd w:fill="auto" w:val="clear"/>
              </w:rPr>
            </w:pPr>
            <w:r>
              <w:rPr>
                <w:rFonts w:ascii="Times New Roman" w:hAnsi="Times New Roman"/>
                <w:color w:val="000000"/>
                <w:sz w:val="20"/>
                <w:szCs w:val="20"/>
                <w:shd w:fill="auto" w:val="clear"/>
              </w:rPr>
              <w:t>568,46</w:t>
            </w:r>
          </w:p>
        </w:tc>
        <w:tc>
          <w:tcPr>
            <w:tcW w:w="885"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000000"/>
                <w:sz w:val="20"/>
                <w:szCs w:val="20"/>
                <w:shd w:fill="auto" w:val="clear"/>
              </w:rPr>
            </w:pPr>
            <w:bookmarkStart w:id="38" w:name="_GoBack"/>
            <w:bookmarkEnd w:id="38"/>
            <w:r>
              <w:rPr>
                <w:rFonts w:ascii="Times New Roman" w:hAnsi="Times New Roman"/>
                <w:color w:val="000000"/>
                <w:sz w:val="20"/>
                <w:szCs w:val="20"/>
                <w:shd w:fill="auto" w:val="clear"/>
              </w:rPr>
              <w:t>503,53</w:t>
            </w:r>
          </w:p>
        </w:tc>
      </w:tr>
    </w:tbl>
    <w:p>
      <w:pPr>
        <w:pStyle w:val="Standard"/>
        <w:spacing w:before="57" w:after="57"/>
        <w:jc w:val="center"/>
        <w:rPr>
          <w:rFonts w:ascii="Times New Roman" w:hAnsi="Times New Roman"/>
          <w:sz w:val="22"/>
          <w:szCs w:val="22"/>
        </w:rPr>
      </w:pPr>
      <w:r>
        <w:rPr>
          <w:rFonts w:cs="Century Gothic" w:ascii="Times New Roman" w:hAnsi="Times New Roman"/>
          <w:b/>
          <w:bCs/>
          <w:color w:val="auto"/>
          <w:sz w:val="22"/>
          <w:szCs w:val="22"/>
        </w:rPr>
        <w:t>Обсяги нарахування коштів за послугу управління відходами (з ПДВ), тис. грн.</w:t>
      </w:r>
    </w:p>
    <w:tbl>
      <w:tblPr>
        <w:tblW w:w="5000" w:type="pct"/>
        <w:jc w:val="start"/>
        <w:tblInd w:w="-5" w:type="dxa"/>
        <w:tblLayout w:type="fixed"/>
        <w:tblCellMar>
          <w:top w:w="55" w:type="dxa"/>
          <w:start w:w="55" w:type="dxa"/>
          <w:bottom w:w="55" w:type="dxa"/>
          <w:end w:w="55" w:type="dxa"/>
        </w:tblCellMar>
      </w:tblPr>
      <w:tblGrid>
        <w:gridCol w:w="712"/>
        <w:gridCol w:w="1157"/>
        <w:gridCol w:w="935"/>
        <w:gridCol w:w="935"/>
        <w:gridCol w:w="935"/>
        <w:gridCol w:w="934"/>
        <w:gridCol w:w="935"/>
        <w:gridCol w:w="935"/>
        <w:gridCol w:w="935"/>
        <w:gridCol w:w="942"/>
      </w:tblGrid>
      <w:tr>
        <w:trPr/>
        <w:tc>
          <w:tcPr>
            <w:tcW w:w="71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w:t>
            </w:r>
          </w:p>
        </w:tc>
        <w:tc>
          <w:tcPr>
            <w:tcW w:w="115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Показник</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2017</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2018</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2019</w:t>
            </w:r>
          </w:p>
        </w:tc>
        <w:tc>
          <w:tcPr>
            <w:tcW w:w="9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2020</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lang w:val="en-US"/>
              </w:rPr>
            </w:pPr>
            <w:r>
              <w:rPr>
                <w:rFonts w:ascii="Times New Roman" w:hAnsi="Times New Roman"/>
                <w:b/>
                <w:bCs/>
                <w:sz w:val="20"/>
                <w:szCs w:val="20"/>
                <w:lang w:val="en-US"/>
              </w:rPr>
              <w:t>2021</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2022</w:t>
            </w:r>
          </w:p>
        </w:tc>
        <w:tc>
          <w:tcPr>
            <w:tcW w:w="9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2023</w:t>
            </w:r>
          </w:p>
        </w:tc>
        <w:tc>
          <w:tcPr>
            <w:tcW w:w="94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0"/>
                <w:szCs w:val="20"/>
              </w:rPr>
              <w:t>2024</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Побутові споживачі</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890,57</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3508,33</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5910,86</w:t>
            </w:r>
          </w:p>
        </w:tc>
        <w:tc>
          <w:tcPr>
            <w:tcW w:w="9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6284,52</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8494,02</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9995,64</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12059,56</w:t>
            </w:r>
          </w:p>
        </w:tc>
        <w:tc>
          <w:tcPr>
            <w:tcW w:w="942"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13243,66</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Бюджетні установи</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367,28</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877,20</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424,83</w:t>
            </w:r>
          </w:p>
        </w:tc>
        <w:tc>
          <w:tcPr>
            <w:tcW w:w="9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146,69</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176,76</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140,70</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156,05</w:t>
            </w:r>
          </w:p>
        </w:tc>
        <w:tc>
          <w:tcPr>
            <w:tcW w:w="942"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214,48</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3</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Інші споживачі</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207,70</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729,66</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1416,09</w:t>
            </w:r>
          </w:p>
        </w:tc>
        <w:tc>
          <w:tcPr>
            <w:tcW w:w="9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1241,52</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1770,63</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1351,74</w:t>
            </w:r>
          </w:p>
        </w:tc>
        <w:tc>
          <w:tcPr>
            <w:tcW w:w="93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1737,73</w:t>
            </w:r>
          </w:p>
        </w:tc>
        <w:tc>
          <w:tcPr>
            <w:tcW w:w="942"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2007,95</w:t>
            </w:r>
          </w:p>
        </w:tc>
      </w:tr>
      <w:tr>
        <w:trPr/>
        <w:tc>
          <w:tcPr>
            <w:tcW w:w="7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4</w:t>
            </w:r>
          </w:p>
        </w:tc>
        <w:tc>
          <w:tcPr>
            <w:tcW w:w="11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0"/>
                <w:szCs w:val="20"/>
              </w:rPr>
              <w:t>Загальний обсяг нарахувань</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1465,55</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5115,19</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7751,78</w:t>
            </w:r>
          </w:p>
        </w:tc>
        <w:tc>
          <w:tcPr>
            <w:tcW w:w="934"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7672,73</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10441,41</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11488,08</w:t>
            </w:r>
          </w:p>
        </w:tc>
        <w:tc>
          <w:tcPr>
            <w:tcW w:w="935" w:type="dxa"/>
            <w:tcBorders>
              <w:start w:val="single" w:sz="4" w:space="0" w:color="000000"/>
              <w:bottom w:val="single" w:sz="4" w:space="0" w:color="000000"/>
            </w:tcBorders>
          </w:tcPr>
          <w:p>
            <w:pPr>
              <w:pStyle w:val="Normal"/>
              <w:jc w:val="center"/>
              <w:rPr>
                <w:color w:val="000000"/>
                <w:sz w:val="22"/>
                <w:szCs w:val="22"/>
              </w:rPr>
            </w:pPr>
            <w:r>
              <w:rPr>
                <w:rFonts w:ascii="Times New Roman" w:hAnsi="Times New Roman"/>
                <w:color w:val="000000"/>
                <w:sz w:val="20"/>
                <w:szCs w:val="20"/>
              </w:rPr>
              <w:t>13953,34</w:t>
            </w:r>
          </w:p>
        </w:tc>
        <w:tc>
          <w:tcPr>
            <w:tcW w:w="942" w:type="dxa"/>
            <w:tcBorders>
              <w:start w:val="single" w:sz="4" w:space="0" w:color="000000"/>
              <w:bottom w:val="single" w:sz="4" w:space="0" w:color="000000"/>
              <w:end w:val="single" w:sz="4" w:space="0" w:color="000000"/>
            </w:tcBorders>
          </w:tcPr>
          <w:p>
            <w:pPr>
              <w:pStyle w:val="Normal"/>
              <w:jc w:val="center"/>
              <w:rPr>
                <w:color w:val="000000"/>
                <w:sz w:val="22"/>
                <w:szCs w:val="22"/>
              </w:rPr>
            </w:pPr>
            <w:r>
              <w:rPr>
                <w:rFonts w:ascii="Times New Roman" w:hAnsi="Times New Roman"/>
                <w:color w:val="000000"/>
                <w:sz w:val="20"/>
                <w:szCs w:val="20"/>
              </w:rPr>
              <w:t>15466,09</w:t>
            </w:r>
          </w:p>
        </w:tc>
      </w:tr>
    </w:tbl>
    <w:p>
      <w:pPr>
        <w:pStyle w:val="Standard"/>
        <w:jc w:val="center"/>
        <w:rPr>
          <w:rFonts w:ascii="Times New Roman" w:hAnsi="Times New Roman"/>
          <w:sz w:val="22"/>
          <w:szCs w:val="22"/>
        </w:rPr>
      </w:pPr>
      <w:r>
        <w:rPr>
          <w:sz w:val="28"/>
          <w:szCs w:val="28"/>
        </w:rPr>
      </w:r>
    </w:p>
    <w:p>
      <w:pPr>
        <w:pStyle w:val="Normal"/>
        <w:ind w:firstLine="567"/>
        <w:jc w:val="center"/>
        <w:rPr>
          <w:rFonts w:ascii="Times New Roman" w:hAnsi="Times New Roman"/>
          <w:sz w:val="26"/>
          <w:szCs w:val="26"/>
        </w:rPr>
      </w:pPr>
      <w:bookmarkStart w:id="39" w:name="_Toc184139694"/>
      <w:bookmarkStart w:id="40" w:name="_Toc181742475"/>
      <w:bookmarkStart w:id="41" w:name="_Toc195651489"/>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.8. Електропостачання</w:t>
      </w:r>
      <w:bookmarkEnd w:id="39"/>
      <w:bookmarkEnd w:id="40"/>
      <w:bookmarkEnd w:id="41"/>
    </w:p>
    <w:p>
      <w:pPr>
        <w:pStyle w:val="Normal"/>
        <w:ind w:firstLine="567"/>
        <w:jc w:val="center"/>
        <w:rPr>
          <w:rFonts w:ascii="Times New Roman" w:hAnsi="Times New Roman"/>
          <w:sz w:val="26"/>
          <w:szCs w:val="26"/>
        </w:rPr>
      </w:pPr>
      <w:r>
        <w:rPr/>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Електропостачання Покровської міської громади забезпечує АТ «ДТЕК Дніпровські електромережі», що проводить планові ремонтні роботи для підвищення надійності мереж, включаючи заміну ліній та трансформаторів. </w:t>
      </w:r>
      <w:r>
        <w:rPr>
          <w:rFonts w:eastAsia="Century Gothic" w:cs="Century Gothic" w:ascii="Times New Roman" w:hAnsi="Times New Roman"/>
          <w:color w:val="000000"/>
          <w:kern w:val="0"/>
          <w:sz w:val="28"/>
          <w:szCs w:val="28"/>
          <w:lang w:eastAsia="uk-UA"/>
        </w:rPr>
        <w:t>В</w:t>
      </w:r>
      <w:r>
        <w:rPr>
          <w:rFonts w:eastAsia="Century Gothic" w:cs="Century Gothic" w:ascii="Times New Roman" w:hAnsi="Times New Roman"/>
          <w:color w:val="000000"/>
          <w:kern w:val="0"/>
          <w:sz w:val="28"/>
          <w:szCs w:val="28"/>
          <w:lang w:eastAsia="uk-UA"/>
        </w:rPr>
        <w:t>арто зазначити, що всі населені пункти громади електрофіковані. При цьому обсяги споживання електроенергії населенням за останні роки мали стійку тенденцію до зростання. Це пов’язано із значним зростанням енергоозброєності приватних домогосподарств за рахунок встановлення додаткового побутового обладнання.</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 метою забезпечення альтернативним джерелом живлення медичних корпусів комунального підприємства «Центральна міська лікарня Покровської міської ради Дніпропетровської області»:</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реалізовано проєкт зі встановлення гібридної сонячної електростанції потужністю 120 кВт включно з комплектом АКБ (51 кВт) на покрівлі головного хірургічного корпусу. Вартість робіт складає 4452,5 тис. грн. Фінансування виконання робіт здійснено коштами Посольства Швейцарії в Україні. З початку листопада 2024 року сонячна електростанція введена в експлуатацію та здійснює виробництво електричної енергії;</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реалізовано проєкт щодо реконструкції електричних мереж шляхом влаштування дахової сонячної електростанції на даху акушерсько-гінекологічного корпусу. Потужність 50 кВт з ємністю акумуляторів 80 кВт/год. Розрахункова вартість проєкту 3942498 грн., у т.ч. за рахунок коштів ЮНІСЕФ - 3285415 грн., за рахунок підприємства - 657083 грн. З травня 2025 року сонячна електростанція введена в експлуатацію та здійснює виробництво електричної енергії;</w:t>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реалізовано проєкт щодо реконструкції електричних мереж шляхом влаштування дахової сонячної електростанції на даху терапевтичного корпусу. Потужність 287,5 кВт. Розрахункова вартість проєкту 4142500 грн., у т.ч. за рахунок коштів ЮНІСЕФ - 3452083,33 грн., за рахунок підприємства - 690416,67 грн. З жовтня 2025 року сонячна електростанція введена в експлуатацію та здійснює виробництво електричної енергії.</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bookmarkStart w:id="42" w:name="_Toc184139695"/>
      <w:bookmarkStart w:id="43" w:name="_Toc195651490"/>
      <w:bookmarkStart w:id="44" w:name="_Toc181742476"/>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.9. Газопостачання</w:t>
      </w:r>
      <w:bookmarkEnd w:id="42"/>
      <w:bookmarkEnd w:id="43"/>
      <w:bookmarkEnd w:id="44"/>
    </w:p>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Газопостачання споживачам Покровської </w:t>
      </w:r>
      <w:r>
        <w:rPr>
          <w:rFonts w:eastAsia="Century Gothic" w:cs="Century Gothic" w:ascii="Times New Roman" w:hAnsi="Times New Roman"/>
          <w:color w:val="000000"/>
          <w:kern w:val="0"/>
          <w:sz w:val="28"/>
          <w:szCs w:val="28"/>
          <w:lang w:eastAsia="uk-UA"/>
        </w:rPr>
        <w:t xml:space="preserve">міської </w:t>
      </w:r>
      <w:r>
        <w:rPr>
          <w:rFonts w:eastAsia="Century Gothic" w:cs="Century Gothic" w:ascii="Times New Roman" w:hAnsi="Times New Roman"/>
          <w:color w:val="000000"/>
          <w:kern w:val="0"/>
          <w:sz w:val="28"/>
          <w:szCs w:val="28"/>
          <w:lang w:eastAsia="uk-UA"/>
        </w:rPr>
        <w:t>громади забезпечу</w:t>
      </w:r>
      <w:r>
        <w:rPr>
          <w:rFonts w:eastAsia="Century Gothic" w:cs="Century Gothic" w:ascii="Times New Roman" w:hAnsi="Times New Roman"/>
          <w:color w:val="000000"/>
          <w:kern w:val="0"/>
          <w:sz w:val="28"/>
          <w:szCs w:val="28"/>
          <w:lang w:eastAsia="uk-UA"/>
        </w:rPr>
        <w:t>є</w:t>
      </w: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Дніпропетровська філія ТОВ «Газорозподільні мережі</w:t>
      </w:r>
      <w:r>
        <w:rPr>
          <w:rFonts w:eastAsia="Century Gothic" w:cs="Century Gothic" w:ascii="Times New Roman" w:hAnsi="Times New Roman"/>
          <w:color w:val="000000"/>
          <w:kern w:val="0"/>
          <w:sz w:val="28"/>
          <w:szCs w:val="28"/>
          <w:u w:val="none"/>
          <w:lang w:eastAsia="uk-UA"/>
        </w:rPr>
        <w:t xml:space="preserve"> </w:t>
      </w:r>
      <w:r>
        <w:rPr>
          <w:rFonts w:eastAsia="Century Gothic" w:cs="Century Gothic" w:ascii="Times New Roman" w:hAnsi="Times New Roman"/>
          <w:color w:val="000000"/>
          <w:kern w:val="0"/>
          <w:sz w:val="28"/>
          <w:szCs w:val="28"/>
          <w:u w:val="none"/>
          <w:lang w:eastAsia="uk-UA"/>
        </w:rPr>
        <w:t>України»</w:t>
      </w:r>
      <w:r>
        <w:rPr>
          <w:rFonts w:eastAsia="Century Gothic" w:cs="Century Gothic" w:ascii="Times New Roman" w:hAnsi="Times New Roman"/>
          <w:color w:val="000000"/>
          <w:kern w:val="0"/>
          <w:sz w:val="28"/>
          <w:szCs w:val="28"/>
          <w:u w:val="none"/>
          <w:lang w:eastAsia="uk-UA"/>
        </w:rPr>
        <w:t xml:space="preserve">, </w:t>
      </w:r>
      <w:r>
        <w:rPr>
          <w:rFonts w:eastAsia="Century Gothic" w:cs="Century Gothic" w:ascii="Times New Roman" w:hAnsi="Times New Roman"/>
          <w:color w:val="000000"/>
          <w:kern w:val="0"/>
          <w:sz w:val="28"/>
          <w:szCs w:val="28"/>
          <w:lang w:eastAsia="uk-UA"/>
        </w:rPr>
        <w:t>які відповідають за аварійні ситуації та розподіл газу. Обслуговування мереж та постачання природного газу здійснюється відповідно до ліцензійних умов та договорів, а у разі аварійних ситуацій газопостачання може призупинятися.</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 Р</w:t>
      </w:r>
      <w:r>
        <w:rPr>
          <w:rFonts w:eastAsia="Century Gothic" w:cs="Century Gothic" w:ascii="Times New Roman" w:hAnsi="Times New Roman"/>
          <w:b/>
          <w:bCs/>
          <w:color w:val="000000"/>
          <w:kern w:val="0"/>
          <w:sz w:val="28"/>
          <w:szCs w:val="28"/>
          <w:lang w:eastAsia="uk-UA"/>
        </w:rPr>
        <w:t>ІЧНИЙ ЕНЕРГЕТИЧНИЙ БАЛАНС</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2"/>
          <w:szCs w:val="22"/>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.1. Зведений енергетичний баланс</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2"/>
          <w:szCs w:val="22"/>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Аналіз структури споживання енергоресурсів </w:t>
      </w:r>
      <w:r>
        <w:rPr>
          <w:rFonts w:eastAsia="Century Gothic" w:cs="Century Gothic" w:ascii="Times New Roman" w:hAnsi="Times New Roman"/>
          <w:color w:val="000000"/>
          <w:kern w:val="0"/>
          <w:sz w:val="28"/>
          <w:szCs w:val="28"/>
          <w:lang w:eastAsia="uk-UA"/>
        </w:rPr>
        <w:t>Покровської міської територіальної громади</w:t>
      </w:r>
      <w:r>
        <w:rPr>
          <w:rFonts w:eastAsia="Century Gothic" w:cs="Century Gothic" w:ascii="Times New Roman" w:hAnsi="Times New Roman"/>
          <w:color w:val="000000"/>
          <w:kern w:val="0"/>
          <w:sz w:val="28"/>
          <w:szCs w:val="28"/>
          <w:lang w:eastAsia="uk-UA"/>
        </w:rPr>
        <w:t xml:space="preserve"> за період 20</w:t>
      </w:r>
      <w:r>
        <w:rPr>
          <w:rFonts w:eastAsia="Century Gothic" w:cs="Century Gothic" w:ascii="Times New Roman" w:hAnsi="Times New Roman"/>
          <w:color w:val="000000"/>
          <w:kern w:val="0"/>
          <w:sz w:val="28"/>
          <w:szCs w:val="28"/>
          <w:lang w:eastAsia="uk-UA"/>
        </w:rPr>
        <w:t>22</w:t>
      </w:r>
      <w:r>
        <w:rPr>
          <w:rFonts w:eastAsia="Century Gothic" w:cs="Century Gothic" w:ascii="Times New Roman" w:hAnsi="Times New Roman"/>
          <w:color w:val="000000"/>
          <w:kern w:val="0"/>
          <w:sz w:val="28"/>
          <w:szCs w:val="28"/>
          <w:lang w:eastAsia="uk-UA"/>
        </w:rPr>
        <w:t xml:space="preserve">–2030 років відображає динамічні зміни в енергетичній системі громади. Дослідження енергоспоживання за цей період дозволяє виявити ключові тренди трансформації енергетичного балансу </w:t>
      </w:r>
      <w:r>
        <w:rPr>
          <w:rFonts w:eastAsia="Century Gothic" w:cs="Century Gothic" w:ascii="Times New Roman" w:hAnsi="Times New Roman"/>
          <w:color w:val="000000"/>
          <w:kern w:val="0"/>
          <w:sz w:val="28"/>
          <w:szCs w:val="28"/>
          <w:lang w:eastAsia="uk-UA"/>
        </w:rPr>
        <w:t>Покровської МТГ</w:t>
      </w:r>
      <w:r>
        <w:rPr>
          <w:rFonts w:eastAsia="Century Gothic" w:cs="Century Gothic" w:ascii="Times New Roman" w:hAnsi="Times New Roman"/>
          <w:color w:val="000000"/>
          <w:kern w:val="0"/>
          <w:sz w:val="28"/>
          <w:szCs w:val="28"/>
          <w:lang w:eastAsia="uk-UA"/>
        </w:rPr>
        <w:t>, включаючи зміни в співвідношенні традиційних та відновлюваних джерел енергії, вплив енергоефективних технологій на загальне споживання, а також адаптацію енергетичної інфраструктури до сучасних економічних і екологічних проблем. Особлива увага приділяється аналізу секторального розподілу енергоспоживання між сектор</w:t>
      </w:r>
      <w:r>
        <w:rPr>
          <w:rFonts w:eastAsia="Century Gothic" w:cs="Century Gothic" w:ascii="Times New Roman" w:hAnsi="Times New Roman"/>
          <w:color w:val="000000"/>
          <w:kern w:val="0"/>
          <w:sz w:val="28"/>
          <w:szCs w:val="28"/>
          <w:lang w:eastAsia="uk-UA"/>
        </w:rPr>
        <w:t>ами</w:t>
      </w:r>
      <w:r>
        <w:rPr>
          <w:rFonts w:eastAsia="Century Gothic" w:cs="Century Gothic" w:ascii="Times New Roman" w:hAnsi="Times New Roman"/>
          <w:color w:val="000000"/>
          <w:kern w:val="0"/>
          <w:sz w:val="28"/>
          <w:szCs w:val="28"/>
          <w:lang w:eastAsia="uk-UA"/>
        </w:rPr>
        <w:t>, що є критично важливим для розробки стратегічних планів сталого енергетичного розвитку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Для можливості складання паливно-енергетичного балансу та виконання порівняльних аналізів енергетичні ресурси приведені до єдиної енергетичної одиниці вимірювання – Мвт-год.</w:t>
      </w:r>
    </w:p>
    <w:p>
      <w:pPr>
        <w:pStyle w:val="Normal"/>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Зведений енергетичний баланс за період 20</w:t>
      </w:r>
      <w:r>
        <w:rPr>
          <w:rFonts w:eastAsia="Century Gothic" w:cs="Century Gothic" w:ascii="Times New Roman" w:hAnsi="Times New Roman"/>
          <w:b/>
          <w:bCs/>
          <w:color w:val="000000"/>
          <w:kern w:val="0"/>
          <w:sz w:val="28"/>
          <w:szCs w:val="28"/>
          <w:lang w:eastAsia="uk-UA"/>
        </w:rPr>
        <w:t>22</w:t>
      </w:r>
      <w:r>
        <w:rPr>
          <w:rFonts w:eastAsia="Century Gothic" w:cs="Century Gothic" w:ascii="Times New Roman" w:hAnsi="Times New Roman"/>
          <w:b/>
          <w:bCs/>
          <w:color w:val="000000"/>
          <w:kern w:val="0"/>
          <w:sz w:val="28"/>
          <w:szCs w:val="28"/>
          <w:lang w:eastAsia="uk-UA"/>
        </w:rPr>
        <w:t>-202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r>
      <w:r>
        <w:rPr>
          <w:rFonts w:eastAsia="Century Gothic" w:cs="Century Gothic" w:ascii="Times New Roman" w:hAnsi="Times New Roman"/>
          <w:b/>
          <w:bCs/>
          <w:color w:val="000000"/>
          <w:kern w:val="0"/>
          <w:sz w:val="28"/>
          <w:szCs w:val="28"/>
          <w:lang w:eastAsia="uk-UA"/>
        </w:rPr>
        <w:drawing>
          <wp:anchor distT="0" distB="0" distL="0" distR="0" simplePos="0" relativeHeight="6"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4" name="Об'єкт3"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t xml:space="preserve"> років за видами енергії, МВт.год</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Як свідчить енергетичний баланс у розрізі енергоресурсів, найбільші частки енергоресурсів за 20</w:t>
      </w:r>
      <w:r>
        <w:rPr>
          <w:rFonts w:eastAsia="Century Gothic" w:cs="Century Gothic" w:ascii="Times New Roman" w:hAnsi="Times New Roman"/>
          <w:b w:val="false"/>
          <w:bCs w:val="false"/>
          <w:color w:val="000000"/>
          <w:kern w:val="0"/>
          <w:sz w:val="28"/>
          <w:szCs w:val="28"/>
          <w:lang w:eastAsia="uk-UA"/>
        </w:rPr>
        <w:t>22</w:t>
      </w:r>
      <w:r>
        <w:rPr>
          <w:rFonts w:eastAsia="Century Gothic" w:cs="Century Gothic" w:ascii="Times New Roman" w:hAnsi="Times New Roman"/>
          <w:b w:val="false"/>
          <w:bCs w:val="false"/>
          <w:color w:val="000000"/>
          <w:kern w:val="0"/>
          <w:sz w:val="28"/>
          <w:szCs w:val="28"/>
          <w:lang w:eastAsia="uk-UA"/>
        </w:rPr>
        <w:t>–202 роки складають: електроенергія (</w:t>
      </w:r>
      <w:r>
        <w:rPr>
          <w:rFonts w:eastAsia="Century Gothic" w:cs="Century Gothic" w:ascii="Times New Roman" w:hAnsi="Times New Roman"/>
          <w:b w:val="false"/>
          <w:bCs w:val="false"/>
          <w:color w:val="000000"/>
          <w:kern w:val="0"/>
          <w:sz w:val="28"/>
          <w:szCs w:val="28"/>
          <w:lang w:eastAsia="uk-UA"/>
        </w:rPr>
        <w:t>5</w:t>
      </w:r>
      <w:r>
        <w:rPr>
          <w:rFonts w:eastAsia="Century Gothic" w:cs="Century Gothic" w:ascii="Times New Roman" w:hAnsi="Times New Roman"/>
          <w:b w:val="false"/>
          <w:bCs w:val="false"/>
          <w:color w:val="000000"/>
          <w:kern w:val="0"/>
          <w:sz w:val="28"/>
          <w:szCs w:val="28"/>
          <w:lang w:eastAsia="uk-UA"/>
        </w:rPr>
        <w:t>0</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8</w:t>
      </w:r>
      <w:r>
        <w:rPr>
          <w:rFonts w:eastAsia="Century Gothic" w:cs="Century Gothic" w:ascii="Times New Roman" w:hAnsi="Times New Roman"/>
          <w:b w:val="false"/>
          <w:bCs w:val="false"/>
          <w:color w:val="000000"/>
          <w:kern w:val="0"/>
          <w:sz w:val="28"/>
          <w:szCs w:val="28"/>
          <w:lang w:eastAsia="uk-UA"/>
        </w:rPr>
        <w:t>%) теплова енергія (</w:t>
      </w:r>
      <w:r>
        <w:rPr>
          <w:rFonts w:eastAsia="Century Gothic" w:cs="Century Gothic" w:ascii="Times New Roman" w:hAnsi="Times New Roman"/>
          <w:b w:val="false"/>
          <w:bCs w:val="false"/>
          <w:color w:val="000000"/>
          <w:kern w:val="0"/>
          <w:sz w:val="28"/>
          <w:szCs w:val="28"/>
          <w:lang w:eastAsia="uk-UA"/>
        </w:rPr>
        <w:t>34</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6</w:t>
      </w:r>
      <w:r>
        <w:rPr>
          <w:rFonts w:eastAsia="Century Gothic" w:cs="Century Gothic" w:ascii="Times New Roman" w:hAnsi="Times New Roman"/>
          <w:b w:val="false"/>
          <w:bCs w:val="false"/>
          <w:color w:val="000000"/>
          <w:kern w:val="0"/>
          <w:sz w:val="28"/>
          <w:szCs w:val="28"/>
          <w:lang w:eastAsia="uk-UA"/>
        </w:rPr>
        <w:t>%), природний газ (</w:t>
      </w:r>
      <w:r>
        <w:rPr>
          <w:rFonts w:eastAsia="Century Gothic" w:cs="Century Gothic" w:ascii="Times New Roman" w:hAnsi="Times New Roman"/>
          <w:b w:val="false"/>
          <w:bCs w:val="false"/>
          <w:color w:val="000000"/>
          <w:kern w:val="0"/>
          <w:sz w:val="28"/>
          <w:szCs w:val="28"/>
          <w:lang w:eastAsia="uk-UA"/>
        </w:rPr>
        <w:t>6</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1</w:t>
      </w:r>
      <w:r>
        <w:rPr>
          <w:rFonts w:eastAsia="Century Gothic" w:cs="Century Gothic" w:ascii="Times New Roman" w:hAnsi="Times New Roman"/>
          <w:b w:val="false"/>
          <w:bCs w:val="false"/>
          <w:color w:val="000000"/>
          <w:kern w:val="0"/>
          <w:sz w:val="28"/>
          <w:szCs w:val="28"/>
          <w:lang w:eastAsia="uk-UA"/>
        </w:rPr>
        <w:t>%).</w:t>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t xml:space="preserve">Зведена таблиця фактичного енергоспоживання </w:t>
      </w:r>
      <w:r>
        <w:rPr>
          <w:rFonts w:eastAsia="Century Gothic" w:cs="Century Gothic" w:ascii="Times New Roman" w:hAnsi="Times New Roman"/>
          <w:b/>
          <w:bCs/>
          <w:color w:val="000000"/>
          <w:kern w:val="0"/>
          <w:sz w:val="28"/>
          <w:szCs w:val="28"/>
          <w:lang w:eastAsia="uk-UA"/>
        </w:rPr>
        <w:t>за період 20</w:t>
      </w:r>
      <w:r>
        <w:rPr>
          <w:rFonts w:eastAsia="Century Gothic" w:cs="Century Gothic" w:ascii="Times New Roman" w:hAnsi="Times New Roman"/>
          <w:b/>
          <w:bCs/>
          <w:color w:val="000000"/>
          <w:kern w:val="0"/>
          <w:sz w:val="28"/>
          <w:szCs w:val="28"/>
          <w:lang w:eastAsia="uk-UA"/>
        </w:rPr>
        <w:t>22</w:t>
      </w:r>
      <w:r>
        <w:rPr>
          <w:rFonts w:eastAsia="Century Gothic" w:cs="Century Gothic" w:ascii="Times New Roman" w:hAnsi="Times New Roman"/>
          <w:b/>
          <w:bCs/>
          <w:color w:val="000000"/>
          <w:kern w:val="0"/>
          <w:sz w:val="28"/>
          <w:szCs w:val="28"/>
          <w:lang w:eastAsia="uk-UA"/>
        </w:rPr>
        <w:t>-202</w:t>
      </w: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 xml:space="preserve"> років</w:t>
      </w:r>
      <w:r>
        <w:rPr>
          <w:rFonts w:ascii="Times New Roman" w:hAnsi="Times New Roman"/>
          <w:b/>
          <w:bCs/>
          <w:sz w:val="28"/>
          <w:szCs w:val="28"/>
        </w:rPr>
        <w:t xml:space="preserve"> за </w:t>
      </w:r>
      <w:r>
        <w:rPr>
          <w:rFonts w:ascii="Times New Roman" w:hAnsi="Times New Roman"/>
          <w:b/>
          <w:bCs/>
          <w:sz w:val="28"/>
          <w:szCs w:val="28"/>
        </w:rPr>
        <w:t>категоріями кінцевих споживачів</w:t>
      </w:r>
      <w:r>
        <w:rPr>
          <w:rFonts w:ascii="Times New Roman" w:hAnsi="Times New Roman"/>
          <w:b/>
          <w:bCs/>
          <w:sz w:val="28"/>
          <w:szCs w:val="28"/>
        </w:rPr>
        <w:t>, МВт⋅год</w:t>
      </w:r>
    </w:p>
    <w:tbl>
      <w:tblPr>
        <w:tblW w:w="9645" w:type="dxa"/>
        <w:jc w:val="start"/>
        <w:tblInd w:w="-5" w:type="dxa"/>
        <w:tblLayout w:type="fixed"/>
        <w:tblCellMar>
          <w:top w:w="55" w:type="dxa"/>
          <w:start w:w="55" w:type="dxa"/>
          <w:bottom w:w="55" w:type="dxa"/>
          <w:end w:w="55" w:type="dxa"/>
        </w:tblCellMar>
      </w:tblPr>
      <w:tblGrid>
        <w:gridCol w:w="510"/>
        <w:gridCol w:w="4140"/>
        <w:gridCol w:w="1980"/>
        <w:gridCol w:w="1590"/>
        <w:gridCol w:w="1425"/>
      </w:tblGrid>
      <w:tr>
        <w:trPr>
          <w:trHeight w:val="51" w:hRule="atLeast"/>
        </w:trPr>
        <w:tc>
          <w:tcPr>
            <w:tcW w:w="51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14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 xml:space="preserve">Назва </w:t>
            </w:r>
          </w:p>
        </w:tc>
        <w:tc>
          <w:tcPr>
            <w:tcW w:w="198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59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25"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Громадські будівлі</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2472</w:t>
            </w:r>
            <w:r>
              <w:rPr>
                <w:rFonts w:ascii="Times New Roman" w:hAnsi="Times New Roman"/>
                <w:sz w:val="28"/>
                <w:szCs w:val="28"/>
                <w:shd w:fill="auto" w:val="clear"/>
              </w:rPr>
              <w:t>7</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23231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20510</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водопостачання</w:t>
            </w:r>
          </w:p>
          <w:p>
            <w:pPr>
              <w:pStyle w:val="Style20"/>
              <w:rPr>
                <w:rFonts w:ascii="Times New Roman" w:hAnsi="Times New Roman"/>
                <w:sz w:val="28"/>
                <w:szCs w:val="28"/>
              </w:rPr>
            </w:pPr>
            <w:r>
              <w:rPr>
                <w:rFonts w:ascii="Times New Roman" w:hAnsi="Times New Roman"/>
                <w:sz w:val="28"/>
                <w:szCs w:val="28"/>
              </w:rPr>
              <w:t>і водовідведення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3215</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3381</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зовнішнього освітлення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1253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1246</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1377</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 управління</w:t>
            </w:r>
          </w:p>
          <w:p>
            <w:pPr>
              <w:pStyle w:val="Style2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побутовими відходами</w:t>
            </w:r>
          </w:p>
        </w:tc>
        <w:tc>
          <w:tcPr>
            <w:tcW w:w="198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664</w:t>
            </w:r>
          </w:p>
        </w:tc>
        <w:tc>
          <w:tcPr>
            <w:tcW w:w="159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568</w:t>
            </w:r>
          </w:p>
        </w:tc>
        <w:tc>
          <w:tcPr>
            <w:tcW w:w="1425" w:type="dxa"/>
            <w:tcBorders>
              <w:start w:val="single" w:sz="4" w:space="0" w:color="000000"/>
              <w:bottom w:val="single" w:sz="4" w:space="0" w:color="000000"/>
              <w:end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504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5</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теплопостачання</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153</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295</w:t>
            </w:r>
          </w:p>
        </w:tc>
      </w:tr>
      <w:tr>
        <w:trPr>
          <w:trHeight w:val="51" w:hRule="atLeast"/>
        </w:trPr>
        <w:tc>
          <w:tcPr>
            <w:tcW w:w="51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Разом</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300</w:t>
            </w:r>
            <w:r>
              <w:rPr>
                <w:rFonts w:ascii="Times New Roman" w:hAnsi="Times New Roman"/>
                <w:sz w:val="28"/>
                <w:szCs w:val="28"/>
              </w:rPr>
              <w:t>10</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28561</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6067</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
        <w:rPr>
          <w:rFonts w:ascii="Times New Roman" w:hAnsi="Times New Roman"/>
          <w:b/>
          <w:bCs/>
          <w:sz w:val="28"/>
          <w:szCs w:val="28"/>
        </w:rPr>
        <w:drawing>
          <wp:anchor distT="0" distB="0" distL="0" distR="0" simplePos="0" relativeHeight="7"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5" name="Об'єкт4"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t xml:space="preserve"> </w:t>
      </w:r>
      <w:r>
        <w:rPr>
          <w:rFonts w:ascii="Times New Roman" w:hAnsi="Times New Roman"/>
          <w:b/>
          <w:bCs/>
          <w:sz w:val="28"/>
          <w:szCs w:val="28"/>
        </w:rPr>
        <w:t>Зведений енергетичний баланс за період 20</w:t>
      </w:r>
      <w:r>
        <w:rPr>
          <w:rFonts w:ascii="Times New Roman" w:hAnsi="Times New Roman"/>
          <w:b/>
          <w:bCs/>
          <w:sz w:val="28"/>
          <w:szCs w:val="28"/>
        </w:rPr>
        <w:t>22</w:t>
      </w:r>
      <w:r>
        <w:rPr>
          <w:rFonts w:ascii="Times New Roman" w:hAnsi="Times New Roman"/>
          <w:b/>
          <w:bCs/>
          <w:sz w:val="28"/>
          <w:szCs w:val="28"/>
        </w:rPr>
        <w:t>-202</w:t>
      </w:r>
      <w:r>
        <w:rPr>
          <w:rFonts w:ascii="Times New Roman" w:hAnsi="Times New Roman"/>
          <w:b/>
          <w:bCs/>
          <w:sz w:val="28"/>
          <w:szCs w:val="28"/>
        </w:rPr>
        <w:t>4</w:t>
      </w:r>
      <w:r>
        <w:rPr>
          <w:rFonts w:ascii="Times New Roman" w:hAnsi="Times New Roman"/>
          <w:b/>
          <w:bCs/>
          <w:sz w:val="28"/>
          <w:szCs w:val="28"/>
        </w:rPr>
        <w:t xml:space="preserve"> років за категоріями кінцевих споживачів, МВт*год</w:t>
      </w:r>
    </w:p>
    <w:p>
      <w:pPr>
        <w:pStyle w:val="Normal"/>
        <w:spacing w:before="0" w:after="0"/>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Як видно з енергетичного балансу в розрізі кінцевих споживачів, найбільшим споживачем енергоресурсів за 20</w:t>
      </w:r>
      <w:r>
        <w:rPr>
          <w:rFonts w:eastAsia="Century Gothic" w:cs="Century Gothic" w:ascii="Times New Roman" w:hAnsi="Times New Roman"/>
          <w:b w:val="false"/>
          <w:bCs w:val="false"/>
          <w:color w:val="000000"/>
          <w:kern w:val="0"/>
          <w:sz w:val="28"/>
          <w:szCs w:val="28"/>
          <w:lang w:eastAsia="uk-UA"/>
        </w:rPr>
        <w:t>22</w:t>
      </w:r>
      <w:r>
        <w:rPr>
          <w:rFonts w:eastAsia="Century Gothic" w:cs="Century Gothic" w:ascii="Times New Roman" w:hAnsi="Times New Roman"/>
          <w:b w:val="false"/>
          <w:bCs w:val="false"/>
          <w:color w:val="000000"/>
          <w:kern w:val="0"/>
          <w:sz w:val="28"/>
          <w:szCs w:val="28"/>
          <w:lang w:eastAsia="uk-UA"/>
        </w:rPr>
        <w:t>–202</w:t>
      </w:r>
      <w:r>
        <w:rPr>
          <w:rFonts w:eastAsia="Century Gothic" w:cs="Century Gothic" w:ascii="Times New Roman" w:hAnsi="Times New Roman"/>
          <w:b w:val="false"/>
          <w:bCs w:val="false"/>
          <w:color w:val="000000"/>
          <w:kern w:val="0"/>
          <w:sz w:val="28"/>
          <w:szCs w:val="28"/>
          <w:lang w:eastAsia="uk-UA"/>
        </w:rPr>
        <w:t>4</w:t>
      </w:r>
      <w:r>
        <w:rPr>
          <w:rFonts w:eastAsia="Century Gothic" w:cs="Century Gothic" w:ascii="Times New Roman" w:hAnsi="Times New Roman"/>
          <w:b w:val="false"/>
          <w:bCs w:val="false"/>
          <w:color w:val="000000"/>
          <w:kern w:val="0"/>
          <w:sz w:val="28"/>
          <w:szCs w:val="28"/>
          <w:lang w:eastAsia="uk-UA"/>
        </w:rPr>
        <w:t xml:space="preserve"> роки є </w:t>
      </w:r>
      <w:r>
        <w:rPr>
          <w:rFonts w:eastAsia="Century Gothic" w:cs="Century Gothic" w:ascii="Times New Roman" w:hAnsi="Times New Roman"/>
          <w:b w:val="false"/>
          <w:bCs w:val="false"/>
          <w:color w:val="000000"/>
          <w:kern w:val="0"/>
          <w:sz w:val="28"/>
          <w:szCs w:val="28"/>
          <w:lang w:eastAsia="uk-UA"/>
        </w:rPr>
        <w:t>громадські</w:t>
      </w:r>
      <w:r>
        <w:rPr>
          <w:rFonts w:eastAsia="Century Gothic" w:cs="Century Gothic" w:ascii="Times New Roman" w:hAnsi="Times New Roman"/>
          <w:b w:val="false"/>
          <w:bCs w:val="false"/>
          <w:color w:val="000000"/>
          <w:kern w:val="0"/>
          <w:sz w:val="28"/>
          <w:szCs w:val="28"/>
          <w:lang w:eastAsia="uk-UA"/>
        </w:rPr>
        <w:t xml:space="preserve"> будівлі. Станом на 2023 рік відсоток споживання </w:t>
      </w:r>
      <w:r>
        <w:rPr>
          <w:rFonts w:eastAsia="Century Gothic" w:cs="Century Gothic" w:ascii="Times New Roman" w:hAnsi="Times New Roman"/>
          <w:b w:val="false"/>
          <w:bCs w:val="false"/>
          <w:color w:val="000000"/>
          <w:kern w:val="0"/>
          <w:sz w:val="28"/>
          <w:szCs w:val="28"/>
          <w:lang w:eastAsia="uk-UA"/>
        </w:rPr>
        <w:t>громадських</w:t>
      </w:r>
      <w:r>
        <w:rPr>
          <w:rFonts w:eastAsia="Century Gothic" w:cs="Century Gothic" w:ascii="Times New Roman" w:hAnsi="Times New Roman"/>
          <w:b w:val="false"/>
          <w:bCs w:val="false"/>
          <w:color w:val="000000"/>
          <w:kern w:val="0"/>
          <w:sz w:val="28"/>
          <w:szCs w:val="28"/>
          <w:lang w:eastAsia="uk-UA"/>
        </w:rPr>
        <w:t xml:space="preserve"> будівель складає </w:t>
      </w:r>
      <w:r>
        <w:rPr>
          <w:rFonts w:eastAsia="Century Gothic" w:cs="Century Gothic" w:ascii="Times New Roman" w:hAnsi="Times New Roman"/>
          <w:b w:val="false"/>
          <w:bCs w:val="false"/>
          <w:color w:val="000000"/>
          <w:kern w:val="0"/>
          <w:sz w:val="28"/>
          <w:szCs w:val="28"/>
          <w:lang w:eastAsia="uk-UA"/>
        </w:rPr>
        <w:t>78</w:t>
      </w:r>
      <w:r>
        <w:rPr>
          <w:rFonts w:eastAsia="Century Gothic" w:cs="Century Gothic" w:ascii="Times New Roman" w:hAnsi="Times New Roman"/>
          <w:b w:val="false"/>
          <w:bCs w:val="false"/>
          <w:color w:val="000000"/>
          <w:kern w:val="0"/>
          <w:sz w:val="28"/>
          <w:szCs w:val="28"/>
          <w:lang w:eastAsia="uk-UA"/>
        </w:rPr>
        <w:t>,</w:t>
      </w:r>
      <w:r>
        <w:rPr>
          <w:rFonts w:eastAsia="Century Gothic" w:cs="Century Gothic" w:ascii="Times New Roman" w:hAnsi="Times New Roman"/>
          <w:b w:val="false"/>
          <w:bCs w:val="false"/>
          <w:color w:val="000000"/>
          <w:kern w:val="0"/>
          <w:sz w:val="28"/>
          <w:szCs w:val="28"/>
          <w:lang w:eastAsia="uk-UA"/>
        </w:rPr>
        <w:t>7</w:t>
      </w:r>
      <w:r>
        <w:rPr>
          <w:rFonts w:eastAsia="Century Gothic" w:cs="Century Gothic" w:ascii="Times New Roman" w:hAnsi="Times New Roman"/>
          <w:b w:val="false"/>
          <w:bCs w:val="false"/>
          <w:color w:val="000000"/>
          <w:kern w:val="0"/>
          <w:sz w:val="28"/>
          <w:szCs w:val="28"/>
          <w:lang w:eastAsia="uk-UA"/>
        </w:rPr>
        <w:t>% (споживання промисловості не враховувалося).</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r>
    </w:p>
    <w:p>
      <w:pPr>
        <w:pStyle w:val="Normal"/>
        <w:spacing w:before="0" w:after="0"/>
        <w:ind w:firstLine="567"/>
        <w:jc w:val="center"/>
        <w:rPr>
          <w:rFonts w:ascii="Times New Roman" w:hAnsi="Times New Roman"/>
          <w:sz w:val="26"/>
          <w:szCs w:val="26"/>
        </w:rPr>
      </w:pPr>
      <w:r>
        <w:rPr>
          <w:rFonts w:eastAsia="Times New Roman" w:cs="Times New Roman" w:ascii="Times New Roman" w:hAnsi="Times New Roman"/>
          <w:b/>
          <w:color w:val="000000"/>
          <w:sz w:val="28"/>
          <w:szCs w:val="28"/>
          <w:shd w:fill="BBE33D" w:val="clear"/>
          <w:lang w:val="uk-UA"/>
        </w:rPr>
      </w:r>
    </w:p>
    <w:p>
      <w:pPr>
        <w:pStyle w:val="Normal"/>
        <w:spacing w:lineRule="auto" w:line="240" w:before="0" w:after="0"/>
        <w:ind w:firstLine="567"/>
        <w:jc w:val="both"/>
        <w:rPr>
          <w:color w:val="000000"/>
          <w:sz w:val="24"/>
          <w:szCs w:val="24"/>
          <w:shd w:fill="FFFFFF" w:val="clear"/>
          <w:lang w:val="uk-UA"/>
        </w:rPr>
      </w:pPr>
      <w:r>
        <w:rPr>
          <w:rFonts w:eastAsia="Times New Roman" w:cs="Times New Roman" w:ascii="Times New Roman" w:hAnsi="Times New Roman"/>
          <w:b/>
          <w:color w:val="000000"/>
          <w:sz w:val="28"/>
          <w:szCs w:val="28"/>
          <w:shd w:fill="auto" w:val="clear"/>
          <w:lang w:val="uk-UA"/>
        </w:rPr>
        <w:t>Висновок</w:t>
      </w:r>
      <w:r>
        <w:rPr>
          <w:rFonts w:eastAsia="Times New Roman" w:cs="Times New Roman" w:ascii="Times New Roman" w:hAnsi="Times New Roman"/>
          <w:color w:val="000000"/>
          <w:sz w:val="28"/>
          <w:szCs w:val="28"/>
          <w:shd w:fill="auto" w:val="clear"/>
          <w:lang w:val="uk-UA"/>
        </w:rPr>
        <w:t>: відповідно до показників зведеного енергетичного балансу за період 20</w:t>
      </w:r>
      <w:r>
        <w:rPr>
          <w:rFonts w:eastAsia="Times New Roman" w:cs="Times New Roman" w:ascii="Times New Roman" w:hAnsi="Times New Roman"/>
          <w:color w:val="000000"/>
          <w:sz w:val="28"/>
          <w:szCs w:val="28"/>
          <w:shd w:fill="auto" w:val="clear"/>
          <w:lang w:val="uk-UA"/>
        </w:rPr>
        <w:t>22</w:t>
      </w:r>
      <w:r>
        <w:rPr>
          <w:rFonts w:eastAsia="Times New Roman" w:cs="Times New Roman" w:ascii="Times New Roman" w:hAnsi="Times New Roman"/>
          <w:color w:val="000000"/>
          <w:sz w:val="28"/>
          <w:szCs w:val="28"/>
          <w:shd w:fill="auto" w:val="clear"/>
          <w:lang w:val="uk-UA"/>
        </w:rPr>
        <w:t xml:space="preserve">-2024 можна зробити висновок, що рівень енергетичного споживання по громаді є достатньо стабільним з незначними коливаннями пов’язаними із зниженням споживання в періоди карантинних обмежень та початком повномасштабного вторгнення в Україну російських військ у 2022 році. </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На загальний обсяг енергоспоживання основний вплив мали фактори зменшення енергоспоживання внаслідок реалізації енергоефективних заходів, збільшення енергоспоживання за рахунок економічного зростання та зростання кількості населення та коливаннями зовнішньої температури і кількістю днів періоду опалення.</w:t>
      </w:r>
    </w:p>
    <w:p>
      <w:pPr>
        <w:pStyle w:val="Normal"/>
        <w:spacing w:lineRule="auto" w:line="240" w:before="0" w:after="0"/>
        <w:ind w:firstLine="567"/>
        <w:jc w:val="both"/>
        <w:rPr>
          <w:color w:val="000000"/>
          <w:sz w:val="24"/>
          <w:szCs w:val="24"/>
          <w:shd w:fill="FFFFFF" w:val="clear"/>
          <w:lang w:val="uk-UA"/>
        </w:rPr>
      </w:pPr>
      <w:r>
        <w:rPr>
          <w:rFonts w:ascii="Times New Roman" w:hAnsi="Times New Roman"/>
          <w:sz w:val="28"/>
          <w:szCs w:val="28"/>
          <w:shd w:fill="auto" w:val="clear"/>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.2. Річний енергетичний баланс (Діаграма Сенкі)</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 xml:space="preserve">Діаграма Сенкі річного енергетичного балансу </w:t>
      </w:r>
      <w:r>
        <w:rPr>
          <w:rFonts w:eastAsia="Century Gothic" w:cs="Century Gothic" w:ascii="Times New Roman" w:hAnsi="Times New Roman"/>
          <w:b/>
          <w:bCs/>
          <w:color w:val="000000"/>
          <w:kern w:val="0"/>
          <w:sz w:val="28"/>
          <w:szCs w:val="28"/>
          <w:shd w:fill="auto" w:val="clear"/>
          <w:lang w:eastAsia="uk-UA"/>
        </w:rPr>
        <w:t>Покровської міської територіальної громади</w:t>
      </w:r>
      <w:r>
        <w:rPr>
          <w:rFonts w:eastAsia="Century Gothic" w:cs="Century Gothic" w:ascii="Times New Roman" w:hAnsi="Times New Roman"/>
          <w:b/>
          <w:bCs/>
          <w:color w:val="000000"/>
          <w:kern w:val="0"/>
          <w:sz w:val="28"/>
          <w:szCs w:val="28"/>
          <w:shd w:fill="auto" w:val="clear"/>
          <w:lang w:eastAsia="uk-UA"/>
        </w:rPr>
        <w:t xml:space="preserve"> станом на 202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р., Мвт*год.</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mc:AlternateContent>
          <mc:Choice Requires="wps">
            <w:drawing>
              <wp:anchor distT="0" distB="0" distL="0" distR="0" simplePos="0" relativeHeight="9" behindDoc="0" locked="0" layoutInCell="1" allowOverlap="1">
                <wp:simplePos x="0" y="0"/>
                <wp:positionH relativeFrom="column">
                  <wp:posOffset>234950</wp:posOffset>
                </wp:positionH>
                <wp:positionV relativeFrom="paragraph">
                  <wp:posOffset>120015</wp:posOffset>
                </wp:positionV>
                <wp:extent cx="5664200" cy="3544570"/>
                <wp:effectExtent l="0" t="0" r="0" b="0"/>
                <wp:wrapNone/>
                <wp:docPr id="6" name="Зображення 1"/>
                <a:graphic xmlns:a="http://schemas.openxmlformats.org/drawingml/2006/main">
                  <a:graphicData uri="http://schemas.openxmlformats.org/drawingml/2006/picture">
                    <pic:pic xmlns:pic="http://schemas.openxmlformats.org/drawingml/2006/picture">
                      <pic:nvPicPr>
                        <pic:cNvPr id="7" name="Зображення 1"/>
                        <pic:cNvPicPr/>
                      </pic:nvPicPr>
                      <pic:blipFill>
                        <a:blip r:embed="rId25"/>
                        <a:srcRect l="32885" t="41466" r="26320" b="21067"/>
                        <a:stretch/>
                      </pic:blipFill>
                      <pic:spPr>
                        <a:xfrm>
                          <a:off x="0" y="0"/>
                          <a:ext cx="5664240" cy="354456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18.5pt;margin-top:9.45pt;width:445.95pt;height:279.05pt;mso-wrap-style:none;v-text-anchor:middle" type="_x0000_t75">
                <v:imagedata r:id="rId26" o:detectmouseclick="t"/>
                <v:stroke color="#3465a4" joinstyle="round" endcap="flat"/>
                <w10:wrap type="none"/>
              </v:shape>
            </w:pict>
          </mc:Fallback>
        </mc:AlternateConten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За результатами опрацювання поданих матеріалів про споживання енергетичних ресурсів на території громади як базовий було обрано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рік. У базовому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році загальний обсяг споживання енергетичних ресурсів становив </w:t>
      </w:r>
      <w:r>
        <w:rPr>
          <w:rFonts w:ascii="Times New Roman" w:hAnsi="Times New Roman"/>
          <w:color w:val="000000"/>
          <w:sz w:val="28"/>
          <w:szCs w:val="28"/>
          <w:shd w:fill="auto" w:val="clear"/>
          <w:lang w:val="uk-UA"/>
        </w:rPr>
        <w:t>26077</w:t>
      </w:r>
      <w:r>
        <w:rPr>
          <w:rFonts w:ascii="Times New Roman" w:hAnsi="Times New Roman"/>
          <w:color w:val="000000"/>
          <w:sz w:val="28"/>
          <w:szCs w:val="28"/>
          <w:shd w:fill="auto" w:val="clear"/>
          <w:lang w:val="uk-UA"/>
        </w:rPr>
        <w:t xml:space="preserve"> Мвт*год. Найбільшу частку в споживанні має </w:t>
      </w:r>
      <w:r>
        <w:rPr>
          <w:rFonts w:ascii="Times New Roman" w:hAnsi="Times New Roman"/>
          <w:color w:val="000000"/>
          <w:sz w:val="28"/>
          <w:szCs w:val="28"/>
          <w:shd w:fill="auto" w:val="clear"/>
          <w:lang w:val="uk-UA"/>
        </w:rPr>
        <w:t xml:space="preserve">електрична енергія. </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Найбільшим споживачем енергоресурсів є </w:t>
      </w:r>
      <w:r>
        <w:rPr>
          <w:rFonts w:ascii="Times New Roman" w:hAnsi="Times New Roman"/>
          <w:color w:val="000000"/>
          <w:sz w:val="28"/>
          <w:szCs w:val="28"/>
          <w:shd w:fill="auto" w:val="clear"/>
          <w:lang w:val="uk-UA"/>
        </w:rPr>
        <w:t xml:space="preserve">громадський </w:t>
      </w:r>
      <w:r>
        <w:rPr>
          <w:rFonts w:ascii="Times New Roman" w:hAnsi="Times New Roman"/>
          <w:color w:val="000000"/>
          <w:sz w:val="28"/>
          <w:szCs w:val="28"/>
          <w:shd w:fill="auto" w:val="clear"/>
          <w:lang w:val="uk-UA"/>
        </w:rPr>
        <w:t>сектор.</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Другим за розміром частки є сектор </w:t>
      </w:r>
      <w:r>
        <w:rPr>
          <w:rFonts w:ascii="Times New Roman" w:hAnsi="Times New Roman"/>
          <w:color w:val="000000"/>
          <w:sz w:val="28"/>
          <w:szCs w:val="28"/>
          <w:shd w:fill="auto" w:val="clear"/>
          <w:lang w:val="uk-UA"/>
        </w:rPr>
        <w:t>водопостачання та водовідведення</w:t>
      </w:r>
      <w:r>
        <w:rPr>
          <w:rFonts w:ascii="Times New Roman" w:hAnsi="Times New Roman"/>
          <w:color w:val="000000"/>
          <w:sz w:val="28"/>
          <w:szCs w:val="28"/>
          <w:shd w:fill="auto" w:val="clear"/>
          <w:lang w:val="uk-UA"/>
        </w:rPr>
        <w:t>.</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Споживання промисловістю не розглядається в межах муніципального енергетичного плану та не відображається на діаграмі Сенкі.</w:t>
      </w:r>
    </w:p>
    <w:p>
      <w:pPr>
        <w:pStyle w:val="Normal"/>
        <w:ind w:firstLine="567"/>
        <w:jc w:val="center"/>
        <w:rPr>
          <w:rFonts w:ascii="Times New Roman" w:hAnsi="Times New Roman"/>
          <w:sz w:val="26"/>
          <w:szCs w:val="26"/>
        </w:rPr>
      </w:pPr>
      <w:r>
        <w:rPr>
          <w:rFonts w:ascii="Times New Roman" w:hAnsi="Times New Roman"/>
          <w:color w:val="000000"/>
          <w:sz w:val="28"/>
          <w:szCs w:val="28"/>
          <w:shd w:fill="auto" w:val="clear"/>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.3. Вартісний баланс енергоресурсів</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У цьому розділі наведена діаграма вартісного балансу енергоресурсів у  </w:t>
      </w:r>
      <w:r>
        <w:rPr>
          <w:rFonts w:eastAsia="Century Gothic" w:cs="Century Gothic" w:ascii="Times New Roman" w:hAnsi="Times New Roman"/>
          <w:color w:val="000000"/>
          <w:kern w:val="0"/>
          <w:sz w:val="28"/>
          <w:szCs w:val="28"/>
          <w:shd w:fill="auto" w:val="clear"/>
          <w:lang w:val="uk-UA" w:eastAsia="uk-UA"/>
        </w:rPr>
        <w:t>Покровськ</w:t>
      </w:r>
      <w:r>
        <w:rPr>
          <w:rFonts w:eastAsia="Century Gothic" w:cs="Century Gothic" w:ascii="Times New Roman" w:hAnsi="Times New Roman"/>
          <w:color w:val="000000"/>
          <w:kern w:val="0"/>
          <w:sz w:val="28"/>
          <w:szCs w:val="28"/>
          <w:shd w:fill="auto" w:val="clear"/>
          <w:lang w:val="uk-UA" w:eastAsia="uk-UA"/>
        </w:rPr>
        <w:t>ій</w:t>
      </w:r>
      <w:r>
        <w:rPr>
          <w:rFonts w:eastAsia="Century Gothic" w:cs="Century Gothic" w:ascii="Times New Roman" w:hAnsi="Times New Roman"/>
          <w:color w:val="000000"/>
          <w:kern w:val="0"/>
          <w:sz w:val="28"/>
          <w:szCs w:val="28"/>
          <w:shd w:fill="auto" w:val="clear"/>
          <w:lang w:val="uk-UA" w:eastAsia="uk-UA"/>
        </w:rPr>
        <w:t xml:space="preserve"> міськ</w:t>
      </w:r>
      <w:r>
        <w:rPr>
          <w:rFonts w:eastAsia="Century Gothic" w:cs="Century Gothic" w:ascii="Times New Roman" w:hAnsi="Times New Roman"/>
          <w:color w:val="000000"/>
          <w:kern w:val="0"/>
          <w:sz w:val="28"/>
          <w:szCs w:val="28"/>
          <w:shd w:fill="auto" w:val="clear"/>
          <w:lang w:val="uk-UA" w:eastAsia="uk-UA"/>
        </w:rPr>
        <w:t>ій</w:t>
      </w:r>
      <w:r>
        <w:rPr>
          <w:rFonts w:eastAsia="Century Gothic" w:cs="Century Gothic" w:ascii="Times New Roman" w:hAnsi="Times New Roman"/>
          <w:color w:val="000000"/>
          <w:kern w:val="0"/>
          <w:sz w:val="28"/>
          <w:szCs w:val="28"/>
          <w:shd w:fill="auto" w:val="clear"/>
          <w:lang w:val="uk-UA" w:eastAsia="uk-UA"/>
        </w:rPr>
        <w:t xml:space="preserve"> територіальн</w:t>
      </w:r>
      <w:r>
        <w:rPr>
          <w:rFonts w:eastAsia="Century Gothic" w:cs="Century Gothic" w:ascii="Times New Roman" w:hAnsi="Times New Roman"/>
          <w:color w:val="000000"/>
          <w:kern w:val="0"/>
          <w:sz w:val="28"/>
          <w:szCs w:val="28"/>
          <w:shd w:fill="auto" w:val="clear"/>
          <w:lang w:val="uk-UA" w:eastAsia="uk-UA"/>
        </w:rPr>
        <w:t>ій</w:t>
      </w:r>
      <w:r>
        <w:rPr>
          <w:rFonts w:eastAsia="Century Gothic" w:cs="Century Gothic" w:ascii="Times New Roman" w:hAnsi="Times New Roman"/>
          <w:color w:val="000000"/>
          <w:kern w:val="0"/>
          <w:sz w:val="28"/>
          <w:szCs w:val="28"/>
          <w:shd w:fill="auto" w:val="clear"/>
          <w:lang w:val="uk-UA" w:eastAsia="uk-UA"/>
        </w:rPr>
        <w:t xml:space="preserve"> громад</w:t>
      </w:r>
      <w:r>
        <w:rPr>
          <w:rFonts w:eastAsia="Century Gothic" w:cs="Century Gothic" w:ascii="Times New Roman" w:hAnsi="Times New Roman"/>
          <w:color w:val="000000"/>
          <w:kern w:val="0"/>
          <w:sz w:val="28"/>
          <w:szCs w:val="28"/>
          <w:shd w:fill="auto" w:val="clear"/>
          <w:lang w:val="uk-UA" w:eastAsia="uk-UA"/>
        </w:rPr>
        <w:t>і</w:t>
      </w:r>
      <w:r>
        <w:rPr>
          <w:rFonts w:ascii="Times New Roman" w:hAnsi="Times New Roman"/>
          <w:color w:val="000000"/>
          <w:sz w:val="28"/>
          <w:szCs w:val="28"/>
          <w:shd w:fill="auto" w:val="clear"/>
          <w:lang w:val="uk-UA"/>
        </w:rPr>
        <w:t xml:space="preserve"> за 20</w:t>
      </w:r>
      <w:r>
        <w:rPr>
          <w:rFonts w:ascii="Times New Roman" w:hAnsi="Times New Roman"/>
          <w:color w:val="000000"/>
          <w:sz w:val="28"/>
          <w:szCs w:val="28"/>
          <w:shd w:fill="auto" w:val="clear"/>
          <w:lang w:val="uk-UA"/>
        </w:rPr>
        <w:t>22</w:t>
      </w:r>
      <w:r>
        <w:rPr>
          <w:rFonts w:ascii="Times New Roman" w:hAnsi="Times New Roman"/>
          <w:color w:val="000000"/>
          <w:sz w:val="28"/>
          <w:szCs w:val="28"/>
          <w:shd w:fill="auto" w:val="clear"/>
          <w:lang w:val="uk-UA"/>
        </w:rPr>
        <w:t>–202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роки з метою оцінки витрат на різні види енергії та врахування при визначенні напрямів для підвищення енергоефективності й зменшення витрат.</w:t>
      </w:r>
    </w:p>
    <w:p>
      <w:pPr>
        <w:pStyle w:val="Normal"/>
        <w:spacing w:lineRule="auto" w:line="240" w:before="0" w:after="0"/>
        <w:ind w:firstLine="567"/>
        <w:jc w:val="center"/>
        <w:rPr>
          <w:color w:val="000000"/>
          <w:sz w:val="24"/>
          <w:szCs w:val="24"/>
          <w:shd w:fill="FFFFFF" w:val="clear"/>
          <w:lang w:val="uk-UA"/>
        </w:rPr>
      </w:pPr>
      <w:r>
        <w:rPr>
          <w:rFonts w:ascii="Times New Roman" w:hAnsi="Times New Roman"/>
          <w:b/>
          <w:bCs/>
          <w:color w:val="000000"/>
          <w:sz w:val="28"/>
          <w:szCs w:val="28"/>
          <w:shd w:fill="auto" w:val="clear"/>
          <w:lang w:val="uk-UA"/>
        </w:rPr>
      </w:r>
    </w:p>
    <w:p>
      <w:pPr>
        <w:pStyle w:val="Normal"/>
        <w:spacing w:lineRule="auto" w:line="240" w:before="0" w:after="0"/>
        <w:ind w:firstLine="567"/>
        <w:jc w:val="center"/>
        <w:rPr>
          <w:color w:val="000000"/>
          <w:sz w:val="24"/>
          <w:szCs w:val="24"/>
          <w:shd w:fill="FFFFFF" w:val="clear"/>
          <w:lang w:val="uk-UA"/>
        </w:rPr>
      </w:pPr>
      <w:r/>
      <w:r>
        <w:rPr>
          <w:rFonts w:ascii="Times New Roman" w:hAnsi="Times New Roman"/>
          <w:b/>
          <w:bCs/>
          <w:color w:val="000000"/>
          <w:sz w:val="28"/>
          <w:szCs w:val="28"/>
          <w:shd w:fill="auto" w:val="clear"/>
          <w:lang w:val="uk-UA"/>
        </w:rPr>
        <w:drawing>
          <wp:anchor distT="0" distB="0" distL="0" distR="0" simplePos="0" relativeHeight="10"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8" name="Об'єкт1"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t xml:space="preserve"> </w:t>
      </w:r>
      <w:r>
        <w:rPr>
          <w:rFonts w:ascii="Times New Roman" w:hAnsi="Times New Roman"/>
          <w:b/>
          <w:bCs/>
          <w:color w:val="000000"/>
          <w:sz w:val="28"/>
          <w:szCs w:val="28"/>
          <w:shd w:fill="auto" w:val="clear"/>
          <w:lang w:val="uk-UA"/>
        </w:rPr>
        <w:t>Зведений вартісний баланс за період 20</w:t>
      </w:r>
      <w:r>
        <w:rPr>
          <w:rFonts w:ascii="Times New Roman" w:hAnsi="Times New Roman"/>
          <w:b/>
          <w:bCs/>
          <w:color w:val="000000"/>
          <w:sz w:val="28"/>
          <w:szCs w:val="28"/>
          <w:shd w:fill="auto" w:val="clear"/>
          <w:lang w:val="uk-UA"/>
        </w:rPr>
        <w:t>22</w:t>
      </w:r>
      <w:r>
        <w:rPr>
          <w:rFonts w:ascii="Times New Roman" w:hAnsi="Times New Roman"/>
          <w:b/>
          <w:bCs/>
          <w:color w:val="000000"/>
          <w:sz w:val="28"/>
          <w:szCs w:val="28"/>
          <w:shd w:fill="auto" w:val="clear"/>
          <w:lang w:val="uk-UA"/>
        </w:rPr>
        <w:t>–202</w:t>
      </w:r>
      <w:r>
        <w:rPr>
          <w:rFonts w:ascii="Times New Roman" w:hAnsi="Times New Roman"/>
          <w:b/>
          <w:bCs/>
          <w:color w:val="000000"/>
          <w:sz w:val="28"/>
          <w:szCs w:val="28"/>
          <w:shd w:fill="auto" w:val="clear"/>
          <w:lang w:val="uk-UA"/>
        </w:rPr>
        <w:t>4</w:t>
      </w:r>
      <w:r>
        <w:rPr>
          <w:rFonts w:ascii="Times New Roman" w:hAnsi="Times New Roman"/>
          <w:b/>
          <w:bCs/>
          <w:color w:val="000000"/>
          <w:sz w:val="28"/>
          <w:szCs w:val="28"/>
          <w:shd w:fill="auto" w:val="clear"/>
          <w:lang w:val="uk-UA"/>
        </w:rPr>
        <w:t xml:space="preserve"> років за категоріями кінцевих спожива</w:t>
      </w:r>
      <w:r>
        <w:rPr>
          <w:rFonts w:ascii="Times New Roman" w:hAnsi="Times New Roman"/>
          <w:b/>
          <w:bCs/>
          <w:color w:val="000000"/>
          <w:sz w:val="28"/>
          <w:szCs w:val="28"/>
          <w:shd w:fill="auto" w:val="clear"/>
          <w:lang w:val="uk-UA"/>
        </w:rPr>
        <w:t>чів, млн. грн.</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Станом на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рік найбільші витрати за спожиті енергоресурси належать до сектору «</w:t>
      </w:r>
      <w:r>
        <w:rPr>
          <w:rFonts w:ascii="Times New Roman" w:hAnsi="Times New Roman"/>
          <w:color w:val="000000"/>
          <w:sz w:val="28"/>
          <w:szCs w:val="28"/>
          <w:shd w:fill="auto" w:val="clear"/>
          <w:lang w:val="uk-UA"/>
        </w:rPr>
        <w:t>Громадські будівлі</w:t>
      </w:r>
      <w:r>
        <w:rPr>
          <w:rFonts w:ascii="Times New Roman" w:hAnsi="Times New Roman"/>
          <w:color w:val="000000"/>
          <w:sz w:val="28"/>
          <w:szCs w:val="28"/>
          <w:shd w:fill="auto" w:val="clear"/>
          <w:lang w:val="uk-UA"/>
        </w:rPr>
        <w:t>».</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rPr>
      </w:r>
    </w:p>
    <w:p>
      <w:pPr>
        <w:pStyle w:val="Normal"/>
        <w:spacing w:lineRule="auto" w:line="240" w:before="0" w:after="0"/>
        <w:ind w:firstLine="567"/>
        <w:jc w:val="center"/>
        <w:rPr>
          <w:color w:val="000000"/>
          <w:sz w:val="24"/>
          <w:szCs w:val="24"/>
          <w:shd w:fill="FFFFFF" w:val="clear"/>
          <w:lang w:val="uk-UA"/>
        </w:rPr>
      </w:pPr>
      <w:r>
        <w:rPr>
          <w:rFonts w:ascii="Times New Roman" w:hAnsi="Times New Roman"/>
          <w:b/>
          <w:bCs/>
          <w:color w:val="000000"/>
          <w:sz w:val="28"/>
          <w:szCs w:val="28"/>
          <w:shd w:fill="auto" w:val="clear"/>
          <w:lang w:val="uk-UA"/>
        </w:rPr>
        <w:t>Зведений вартісний баланс за період 20</w:t>
      </w:r>
      <w:r>
        <w:rPr>
          <w:rFonts w:ascii="Times New Roman" w:hAnsi="Times New Roman"/>
          <w:b/>
          <w:bCs/>
          <w:color w:val="000000"/>
          <w:sz w:val="28"/>
          <w:szCs w:val="28"/>
          <w:shd w:fill="auto" w:val="clear"/>
          <w:lang w:val="uk-UA"/>
        </w:rPr>
        <w:t>22</w:t>
      </w:r>
      <w:r>
        <w:rPr>
          <w:rFonts w:ascii="Times New Roman" w:hAnsi="Times New Roman"/>
          <w:b/>
          <w:bCs/>
          <w:color w:val="000000"/>
          <w:sz w:val="28"/>
          <w:szCs w:val="28"/>
          <w:shd w:fill="auto" w:val="clear"/>
          <w:lang w:val="uk-UA"/>
        </w:rPr>
        <w:t>–202</w:t>
      </w:r>
      <w:r>
        <w:rPr>
          <w:rFonts w:ascii="Times New Roman" w:hAnsi="Times New Roman"/>
          <w:b/>
          <w:bCs/>
          <w:color w:val="000000"/>
          <w:sz w:val="28"/>
          <w:szCs w:val="28"/>
          <w:shd w:fill="auto" w:val="clear"/>
          <w:lang w:val="uk-UA"/>
        </w:rPr>
        <w:t>4</w:t>
      </w:r>
      <w:r>
        <w:rPr>
          <w:rFonts w:ascii="Times New Roman" w:hAnsi="Times New Roman"/>
          <w:b/>
          <w:bCs/>
          <w:color w:val="000000"/>
          <w:sz w:val="28"/>
          <w:szCs w:val="28"/>
          <w:shd w:fill="auto" w:val="clear"/>
          <w:lang w:val="uk-UA"/>
        </w:rPr>
      </w:r>
      <w:r>
        <w:rPr>
          <w:rFonts w:ascii="Times New Roman" w:hAnsi="Times New Roman"/>
          <w:b/>
          <w:bCs/>
          <w:color w:val="000000"/>
          <w:sz w:val="28"/>
          <w:szCs w:val="28"/>
          <w:shd w:fill="auto" w:val="clear"/>
          <w:lang w:val="uk-UA"/>
        </w:rPr>
        <w:drawing>
          <wp:anchor distT="0" distB="0" distL="0" distR="0" simplePos="0" relativeHeight="11" behindDoc="0" locked="0" layoutInCell="0" allowOverlap="1">
            <wp:simplePos x="0" y="0"/>
            <wp:positionH relativeFrom="column">
              <wp:posOffset>90170</wp:posOffset>
            </wp:positionH>
            <wp:positionV relativeFrom="paragraph">
              <wp:posOffset>457200</wp:posOffset>
            </wp:positionV>
            <wp:extent cx="5759450" cy="3239770"/>
            <wp:effectExtent l="0" t="0" r="0" b="0"/>
            <wp:wrapSquare wrapText="largest"/>
            <wp:docPr id="9" name="Об'єкт5"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t xml:space="preserve"> років за видами енергії, млн грн</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 xml:space="preserve">У розрізі часток споживання енергоресурсів значну долю складає вартість електричної, теплової енергії, </w:t>
      </w:r>
      <w:r>
        <w:rPr>
          <w:rFonts w:ascii="Times New Roman" w:hAnsi="Times New Roman"/>
          <w:color w:val="000000"/>
          <w:sz w:val="28"/>
          <w:szCs w:val="28"/>
          <w:shd w:fill="auto" w:val="clear"/>
          <w:lang w:val="uk-UA"/>
        </w:rPr>
        <w:t>природного газу,</w:t>
      </w:r>
      <w:r>
        <w:rPr>
          <w:rFonts w:ascii="Times New Roman" w:hAnsi="Times New Roman"/>
          <w:color w:val="000000"/>
          <w:sz w:val="28"/>
          <w:szCs w:val="28"/>
          <w:shd w:fill="auto" w:val="clear"/>
          <w:lang w:val="uk-UA"/>
        </w:rPr>
        <w:t xml:space="preserve"> пального (бензину та дизелю).</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Тарифи на пальне мали тенденцію до зростання протягом усього періоду аналізу за 20</w:t>
      </w:r>
      <w:r>
        <w:rPr>
          <w:rFonts w:ascii="Times New Roman" w:hAnsi="Times New Roman"/>
          <w:color w:val="000000"/>
          <w:sz w:val="28"/>
          <w:szCs w:val="28"/>
          <w:shd w:fill="auto" w:val="clear"/>
          <w:lang w:val="uk-UA"/>
        </w:rPr>
        <w:t>22</w:t>
      </w:r>
      <w:r>
        <w:rPr>
          <w:rFonts w:ascii="Times New Roman" w:hAnsi="Times New Roman"/>
          <w:color w:val="000000"/>
          <w:sz w:val="28"/>
          <w:szCs w:val="28"/>
          <w:shd w:fill="auto" w:val="clear"/>
          <w:lang w:val="uk-UA"/>
        </w:rPr>
        <w:t>–202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роки.</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2.</w:t>
      </w:r>
      <w:r>
        <w:rPr>
          <w:rFonts w:eastAsia="Century Gothic" w:cs="Century Gothic" w:ascii="Times New Roman" w:hAnsi="Times New Roman"/>
          <w:b/>
          <w:bCs/>
          <w:color w:val="000000"/>
          <w:kern w:val="0"/>
          <w:sz w:val="28"/>
          <w:szCs w:val="28"/>
          <w:shd w:fill="auto" w:val="clear"/>
          <w:lang w:eastAsia="uk-UA"/>
        </w:rPr>
        <w:t>4</w:t>
      </w:r>
      <w:r>
        <w:rPr>
          <w:rFonts w:eastAsia="Century Gothic" w:cs="Century Gothic" w:ascii="Times New Roman" w:hAnsi="Times New Roman"/>
          <w:b/>
          <w:bCs/>
          <w:color w:val="000000"/>
          <w:kern w:val="0"/>
          <w:sz w:val="28"/>
          <w:szCs w:val="28"/>
          <w:shd w:fill="auto" w:val="clear"/>
          <w:lang w:eastAsia="uk-UA"/>
        </w:rPr>
        <w:t>.4. Інвестиційний баланс за минулі періоди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Інвестиційний баланс для муніципального енергетичного плану за минулий період 2024-2025 роки</w:t>
      </w:r>
    </w:p>
    <w:p>
      <w:pPr>
        <w:pStyle w:val="Normal"/>
        <w:ind w:firstLine="567"/>
        <w:jc w:val="center"/>
        <w:rPr>
          <w:rFonts w:ascii="Times New Roman" w:hAnsi="Times New Roman"/>
          <w:sz w:val="26"/>
          <w:szCs w:val="26"/>
        </w:rPr>
      </w:pPr>
      <w:r>
        <w:rPr>
          <w:rFonts w:ascii="Times New Roman" w:hAnsi="Times New Roman"/>
          <w:color w:val="000000"/>
          <w:sz w:val="16"/>
          <w:szCs w:val="16"/>
          <w:shd w:fill="auto" w:val="clear"/>
        </w:rPr>
        <w:drawing>
          <wp:anchor distT="0" distB="0" distL="0" distR="0" simplePos="0" relativeHeight="12" behindDoc="0" locked="0" layoutInCell="0" allowOverlap="1">
            <wp:simplePos x="0" y="0"/>
            <wp:positionH relativeFrom="column">
              <wp:posOffset>166370</wp:posOffset>
            </wp:positionH>
            <wp:positionV relativeFrom="paragraph">
              <wp:posOffset>173355</wp:posOffset>
            </wp:positionV>
            <wp:extent cx="5762625" cy="3239135"/>
            <wp:effectExtent l="0" t="0" r="0" b="0"/>
            <wp:wrapSquare wrapText="largest"/>
            <wp:docPr id="10" name="Об'єкт7"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Протягом періоду 20</w:t>
      </w:r>
      <w:r>
        <w:rPr>
          <w:rFonts w:ascii="Times New Roman" w:hAnsi="Times New Roman"/>
          <w:color w:val="000000"/>
          <w:sz w:val="28"/>
          <w:szCs w:val="28"/>
          <w:shd w:fill="auto" w:val="clear"/>
          <w:lang w:val="uk-UA"/>
        </w:rPr>
        <w:t>24</w:t>
      </w:r>
      <w:r>
        <w:rPr>
          <w:rFonts w:ascii="Times New Roman" w:hAnsi="Times New Roman"/>
          <w:color w:val="000000"/>
          <w:sz w:val="28"/>
          <w:szCs w:val="28"/>
          <w:shd w:fill="auto" w:val="clear"/>
          <w:lang w:val="uk-UA"/>
        </w:rPr>
        <w:t xml:space="preserve">–2025 років виконувалися заходи для покращення енергоефективності та розвитку ВДЕ. Основна частина інвестицій була залучена в </w:t>
      </w:r>
      <w:r>
        <w:rPr>
          <w:rFonts w:ascii="Times New Roman" w:hAnsi="Times New Roman"/>
          <w:color w:val="000000"/>
          <w:sz w:val="28"/>
          <w:szCs w:val="28"/>
          <w:shd w:fill="auto" w:val="clear"/>
          <w:lang w:val="uk-UA"/>
        </w:rPr>
        <w:t>2025 році.</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t>Найбільша частина інвестицій виконана в секторі «Громадські будівлі». Протягом 202</w:t>
      </w:r>
      <w:r>
        <w:rPr>
          <w:rFonts w:ascii="Times New Roman" w:hAnsi="Times New Roman"/>
          <w:color w:val="000000"/>
          <w:sz w:val="28"/>
          <w:szCs w:val="28"/>
          <w:shd w:fill="auto" w:val="clear"/>
          <w:lang w:val="uk-UA"/>
        </w:rPr>
        <w:t>4</w:t>
      </w:r>
      <w:r>
        <w:rPr>
          <w:rFonts w:ascii="Times New Roman" w:hAnsi="Times New Roman"/>
          <w:color w:val="000000"/>
          <w:sz w:val="28"/>
          <w:szCs w:val="28"/>
          <w:shd w:fill="auto" w:val="clear"/>
          <w:lang w:val="uk-UA"/>
        </w:rPr>
        <w:t xml:space="preserve"> р</w:t>
      </w:r>
      <w:r>
        <w:rPr>
          <w:rFonts w:ascii="Times New Roman" w:hAnsi="Times New Roman"/>
          <w:color w:val="000000"/>
          <w:sz w:val="28"/>
          <w:szCs w:val="28"/>
          <w:shd w:fill="auto" w:val="clear"/>
          <w:lang w:val="uk-UA"/>
        </w:rPr>
        <w:t>оку</w:t>
      </w:r>
      <w:r>
        <w:rPr>
          <w:rFonts w:ascii="Times New Roman" w:hAnsi="Times New Roman"/>
          <w:color w:val="000000"/>
          <w:sz w:val="28"/>
          <w:szCs w:val="28"/>
          <w:shd w:fill="auto" w:val="clear"/>
          <w:lang w:val="uk-UA"/>
        </w:rPr>
        <w:t xml:space="preserve"> виконувались заходи у сфері водопостачання та водовідведення. </w:t>
      </w:r>
    </w:p>
    <w:p>
      <w:pPr>
        <w:pStyle w:val="Normal"/>
        <w:spacing w:lineRule="auto" w:line="240" w:before="0" w:after="0"/>
        <w:ind w:firstLine="567"/>
        <w:jc w:val="both"/>
        <w:rPr>
          <w:color w:val="000000"/>
          <w:sz w:val="24"/>
          <w:szCs w:val="24"/>
          <w:shd w:fill="FFFFFF" w:val="clear"/>
          <w:lang w:val="uk-UA"/>
        </w:rPr>
      </w:pPr>
      <w:r>
        <w:rPr>
          <w:rFonts w:ascii="Times New Roman" w:hAnsi="Times New Roman"/>
          <w:color w:val="000000"/>
          <w:sz w:val="28"/>
          <w:szCs w:val="28"/>
          <w:shd w:fill="auto" w:val="clear"/>
          <w:lang w:val="uk-UA"/>
        </w:rPr>
      </w:r>
    </w:p>
    <w:p>
      <w:pPr>
        <w:pStyle w:val="Normal"/>
        <w:numPr>
          <w:ilvl w:val="0"/>
          <w:numId w:val="0"/>
        </w:numPr>
        <w:spacing w:lineRule="auto" w:line="259" w:before="160" w:after="80"/>
        <w:ind w:hanging="0" w:start="0"/>
        <w:jc w:val="center"/>
        <w:outlineLvl w:val="1"/>
        <w:rPr>
          <w:rFonts w:ascii="Times New Roman" w:hAnsi="Times New Roman"/>
          <w:sz w:val="28"/>
          <w:szCs w:val="28"/>
          <w:shd w:fill="auto" w:val="clear"/>
        </w:rPr>
      </w:pPr>
      <w:bookmarkStart w:id="45" w:name="_Toc181742479"/>
      <w:bookmarkStart w:id="46" w:name="_Toc195651493"/>
      <w:r>
        <w:rPr>
          <w:rFonts w:eastAsia="Times New Roman" w:cs="Times New Roman" w:ascii="Times New Roman" w:hAnsi="Times New Roman"/>
          <w:b/>
          <w:color w:themeColor="accent1" w:themeShade="bf" w:val="000000"/>
          <w:kern w:val="0"/>
          <w:sz w:val="28"/>
          <w:szCs w:val="28"/>
          <w:shd w:fill="auto" w:val="clear"/>
          <w:lang w:eastAsia="uk-UA"/>
        </w:rPr>
        <w:t>2.</w:t>
      </w:r>
      <w:r>
        <w:rPr>
          <w:rFonts w:eastAsia="Times New Roman" w:cs="Times New Roman" w:ascii="Times New Roman" w:hAnsi="Times New Roman"/>
          <w:b/>
          <w:color w:themeColor="accent1" w:themeShade="bf" w:val="000000"/>
          <w:kern w:val="0"/>
          <w:sz w:val="28"/>
          <w:szCs w:val="28"/>
          <w:shd w:fill="auto" w:val="clear"/>
          <w:lang w:eastAsia="uk-UA"/>
        </w:rPr>
        <w:t>5</w:t>
      </w:r>
      <w:r>
        <w:rPr>
          <w:rFonts w:eastAsia="Times New Roman" w:cs="Times New Roman" w:ascii="Times New Roman" w:hAnsi="Times New Roman"/>
          <w:b/>
          <w:color w:themeColor="accent1" w:themeShade="bf" w:val="000000"/>
          <w:kern w:val="0"/>
          <w:sz w:val="28"/>
          <w:szCs w:val="28"/>
          <w:shd w:fill="auto" w:val="clear"/>
          <w:lang w:eastAsia="uk-UA"/>
        </w:rPr>
        <w:t xml:space="preserve"> АНАЛІЗ РЕЗУЛЬТАТІВ БЕНЧМАРКІНГУ КЛЮЧОВИХ ЕНЕРГЕТИЧНИХ ПОКАЗНИКІВ ОБ’ЄКТІВ (СИСТЕМ) НА ТЕРИТОРІЇ </w:t>
      </w:r>
      <w:bookmarkEnd w:id="45"/>
      <w:bookmarkEnd w:id="46"/>
      <w:r>
        <w:rPr>
          <w:rFonts w:eastAsia="Times New Roman" w:cs="Times New Roman" w:ascii="Times New Roman" w:hAnsi="Times New Roman"/>
          <w:b/>
          <w:color w:themeColor="accent1" w:themeShade="bf" w:val="000000"/>
          <w:kern w:val="0"/>
          <w:sz w:val="28"/>
          <w:szCs w:val="28"/>
          <w:shd w:fill="auto" w:val="clear"/>
          <w:lang w:eastAsia="uk-UA"/>
        </w:rPr>
        <w:t>ТЕРИТОРІАЛЬНОЇ ГРОМАДИ</w:t>
      </w:r>
    </w:p>
    <w:p>
      <w:pPr>
        <w:pStyle w:val="Normal"/>
        <w:numPr>
          <w:ilvl w:val="0"/>
          <w:numId w:val="0"/>
        </w:numPr>
        <w:spacing w:lineRule="auto" w:line="259" w:before="0" w:after="0"/>
        <w:ind w:hanging="0" w:start="0"/>
        <w:jc w:val="center"/>
        <w:outlineLvl w:val="1"/>
        <w:rPr>
          <w:rFonts w:ascii="Times New Roman" w:hAnsi="Times New Roman" w:eastAsia="Times New Roman" w:cs="Times New Roman"/>
          <w:b/>
          <w:color w:themeColor="accent1" w:themeShade="bf" w:val="000000"/>
          <w:kern w:val="0"/>
          <w:sz w:val="28"/>
          <w:szCs w:val="28"/>
          <w:lang w:eastAsia="uk-UA"/>
        </w:rPr>
      </w:pPr>
      <w:r>
        <w:rPr>
          <w:rFonts w:eastAsia="Times New Roman" w:cs="Times New Roman" w:ascii="Times New Roman" w:hAnsi="Times New Roman"/>
          <w:b/>
          <w:color w:themeColor="accent1" w:themeShade="bf" w:val="000000"/>
          <w:kern w:val="0"/>
          <w:sz w:val="28"/>
          <w:szCs w:val="28"/>
          <w:lang w:eastAsia="uk-UA"/>
        </w:rPr>
      </w:r>
    </w:p>
    <w:p>
      <w:pPr>
        <w:pStyle w:val="Normal"/>
        <w:spacing w:lineRule="auto" w:line="240" w:before="0" w:after="0"/>
        <w:ind w:firstLine="567" w:start="0" w:end="0"/>
        <w:jc w:val="both"/>
        <w:rPr>
          <w:rFonts w:ascii="Times New Roman" w:hAnsi="Times New Roman" w:eastAsia="Times New Roman" w:cs="Times New Roman"/>
          <w:sz w:val="24"/>
          <w:lang w:val="uk-UA"/>
        </w:rPr>
      </w:pPr>
      <w:r>
        <w:rPr>
          <w:rFonts w:ascii="Times New Roman" w:hAnsi="Times New Roman"/>
          <w:color w:val="000000"/>
          <w:sz w:val="28"/>
          <w:szCs w:val="28"/>
          <w:shd w:fill="auto" w:val="clear"/>
          <w:lang w:val="uk-UA"/>
        </w:rPr>
        <w:t>Бенчмаркінг — це інструмент енергетичного аналізу, що використовується для порівняння енергетичних показників між подібними об'єктами (системами) з урахуванням основних факторів впливу. Метою є оцінка ефективності споживання енергії та відповідно визначення типу оптимальних підходів при енергетичному плануванні. Бенчмаркінг є важливим інструментом для муніципалітетів, оскільки дозволяє оцінювати, порівнювати та покращувати ефективність визначення показників енергетичного споживання у муніципальних енергетичних планів (МЕП). Завдяки цьому громади можуть оцінювати рівень споживання енергії та ефективність вже виконаних заходів, порівнюючи їх з найкращими практиками громад, подібних за характеристиками. Такий процес сприяє прозорості та якості звітування, а також створює платформу для постійного вдосконалення шляхом виявлення потенціалу у секторах енергетичного планування, встановлення цілей та обміну знаннями між місцевими органами влади.</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Питома кількість штатних одиниць енергоменеджменту на 10000 осіб у громаді становить 0,3, що нижче за середній рекомендований рівень. Наприклад, за даними Асоціації енергоефективних міст, середній рівень для українських міст середнього розміру повинен складати щонайменше 1 енергоменеджер на 10000 осіб, щоб забезпечити ефективне управління енергоспоживанням.</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За показником відношення витрат з місцевого бюджету на оплату комунальних послуг та енергоносіїв до фактичних поточних видатків місцевого бюджету, яке станом на базовий 202</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xml:space="preserve"> рік становить </w:t>
      </w:r>
      <w:r>
        <w:rPr>
          <w:rFonts w:eastAsia="Times New Roman" w:cs="Times New Roman" w:ascii="Times New Roman" w:hAnsi="Times New Roman"/>
          <w:kern w:val="0"/>
          <w:sz w:val="28"/>
          <w:szCs w:val="28"/>
          <w:shd w:fill="auto" w:val="clear"/>
          <w:lang w:val="uk-UA" w:eastAsia="uk-UA" w:bidi="ar-SA"/>
        </w:rPr>
        <w:t>8</w:t>
      </w:r>
      <w:r>
        <w:rPr>
          <w:rFonts w:eastAsia="Times New Roman" w:cs="Times New Roman" w:ascii="Times New Roman" w:hAnsi="Times New Roman"/>
          <w:kern w:val="0"/>
          <w:sz w:val="28"/>
          <w:szCs w:val="28"/>
          <w:shd w:fill="auto" w:val="clear"/>
          <w:lang w:val="uk-UA" w:eastAsia="uk-UA" w:bidi="ar-SA"/>
        </w:rPr>
        <w:t xml:space="preserve">%, або </w:t>
      </w:r>
      <w:r>
        <w:rPr>
          <w:rFonts w:eastAsia="Times New Roman" w:cs="Times New Roman" w:ascii="Times New Roman" w:hAnsi="Times New Roman"/>
          <w:kern w:val="0"/>
          <w:sz w:val="28"/>
          <w:szCs w:val="28"/>
          <w:shd w:fill="auto" w:val="clear"/>
          <w:lang w:val="uk-UA" w:eastAsia="uk-UA" w:bidi="ar-SA"/>
        </w:rPr>
        <w:t>39</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7</w:t>
      </w:r>
      <w:r>
        <w:rPr>
          <w:rFonts w:eastAsia="Times New Roman" w:cs="Times New Roman" w:ascii="Times New Roman" w:hAnsi="Times New Roman"/>
          <w:kern w:val="0"/>
          <w:sz w:val="28"/>
          <w:szCs w:val="28"/>
          <w:shd w:fill="auto" w:val="clear"/>
          <w:lang w:val="uk-UA" w:eastAsia="uk-UA" w:bidi="ar-SA"/>
        </w:rPr>
        <w:t xml:space="preserve"> млн грн, МТГ перебуває на середньому рівні показника (</w:t>
      </w:r>
      <w:r>
        <w:rPr>
          <w:rFonts w:eastAsia="Times New Roman" w:cs="Times New Roman" w:ascii="Times New Roman" w:hAnsi="Times New Roman"/>
          <w:kern w:val="0"/>
          <w:sz w:val="28"/>
          <w:szCs w:val="28"/>
          <w:shd w:fill="auto" w:val="clear"/>
          <w:lang w:val="uk-UA" w:eastAsia="uk-UA" w:bidi="ar-SA"/>
        </w:rPr>
        <w:t>8</w:t>
      </w:r>
      <w:r>
        <w:rPr>
          <w:rFonts w:eastAsia="Times New Roman" w:cs="Times New Roman" w:ascii="Times New Roman" w:hAnsi="Times New Roman"/>
          <w:kern w:val="0"/>
          <w:sz w:val="28"/>
          <w:szCs w:val="28"/>
          <w:shd w:fill="auto" w:val="clear"/>
          <w:lang w:val="uk-UA" w:eastAsia="uk-UA" w:bidi="ar-SA"/>
        </w:rPr>
        <w:t>%) по Україні, (при екстремумах цього показника від 1,1% до 12,9%).</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При цьому розрахунок обсягу асигнувань на фінансування оплати енергоносіїв для бюджетних установ на наступний бюджетний період здійснюється із урахуванням не реальних енергетичних потреб, зокрема із застосуванням базового рівня споживання, а спирається на витрати попередніх періодів у натуральних показниках.</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Найбільша частка бюджетних видатків при оплаті енергоносіїв припадає на оплату теплопостачання, а саме </w:t>
      </w:r>
      <w:r>
        <w:rPr>
          <w:rFonts w:eastAsia="Times New Roman" w:cs="Times New Roman" w:ascii="Times New Roman" w:hAnsi="Times New Roman"/>
          <w:kern w:val="0"/>
          <w:sz w:val="28"/>
          <w:szCs w:val="28"/>
          <w:shd w:fill="auto" w:val="clear"/>
          <w:lang w:val="uk-UA" w:eastAsia="uk-UA" w:bidi="ar-SA"/>
        </w:rPr>
        <w:t>30</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6</w:t>
      </w:r>
      <w:r>
        <w:rPr>
          <w:rFonts w:eastAsia="Times New Roman" w:cs="Times New Roman" w:ascii="Times New Roman" w:hAnsi="Times New Roman"/>
          <w:kern w:val="0"/>
          <w:sz w:val="28"/>
          <w:szCs w:val="28"/>
          <w:shd w:fill="auto" w:val="clear"/>
          <w:lang w:val="uk-UA" w:eastAsia="uk-UA" w:bidi="ar-SA"/>
        </w:rPr>
        <w:t xml:space="preserve"> млн. грн із відповідних </w:t>
      </w:r>
      <w:r>
        <w:rPr>
          <w:rFonts w:eastAsia="Times New Roman" w:cs="Times New Roman" w:ascii="Times New Roman" w:hAnsi="Times New Roman"/>
          <w:kern w:val="0"/>
          <w:sz w:val="28"/>
          <w:szCs w:val="28"/>
          <w:shd w:fill="auto" w:val="clear"/>
          <w:lang w:val="uk-UA" w:eastAsia="uk-UA" w:bidi="ar-SA"/>
        </w:rPr>
        <w:t>39</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7</w:t>
      </w:r>
      <w:r>
        <w:rPr>
          <w:rFonts w:eastAsia="Times New Roman" w:cs="Times New Roman" w:ascii="Times New Roman" w:hAnsi="Times New Roman"/>
          <w:kern w:val="0"/>
          <w:sz w:val="28"/>
          <w:szCs w:val="28"/>
          <w:shd w:fill="auto" w:val="clear"/>
          <w:lang w:val="uk-UA" w:eastAsia="uk-UA" w:bidi="ar-SA"/>
        </w:rPr>
        <w:t xml:space="preserve"> млн. грн (7</w:t>
      </w:r>
      <w:r>
        <w:rPr>
          <w:rFonts w:eastAsia="Times New Roman" w:cs="Times New Roman" w:ascii="Times New Roman" w:hAnsi="Times New Roman"/>
          <w:kern w:val="0"/>
          <w:sz w:val="28"/>
          <w:szCs w:val="28"/>
          <w:shd w:fill="auto" w:val="clear"/>
          <w:lang w:val="uk-UA" w:eastAsia="uk-UA" w:bidi="ar-SA"/>
        </w:rPr>
        <w:t>7</w:t>
      </w:r>
      <w:r>
        <w:rPr>
          <w:rFonts w:eastAsia="Times New Roman" w:cs="Times New Roman" w:ascii="Times New Roman" w:hAnsi="Times New Roman"/>
          <w:kern w:val="0"/>
          <w:sz w:val="28"/>
          <w:szCs w:val="28"/>
          <w:shd w:fill="auto" w:val="clear"/>
          <w:lang w:val="uk-UA" w:eastAsia="uk-UA" w:bidi="ar-SA"/>
        </w:rPr>
        <w:t>% від загального обсягу видатків на оплату комунальних послуг та енергоносіїв із бюджету органу місцевого самоврядування).</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Громадські будівлі</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Структура громадських будівель у громаді складається із закладів освіти (</w:t>
      </w:r>
      <w:r>
        <w:rPr>
          <w:rFonts w:eastAsia="Times New Roman" w:cs="Times New Roman" w:ascii="Times New Roman" w:hAnsi="Times New Roman"/>
          <w:kern w:val="0"/>
          <w:sz w:val="28"/>
          <w:szCs w:val="28"/>
          <w:shd w:fill="auto" w:val="clear"/>
          <w:lang w:val="uk-UA" w:eastAsia="uk-UA" w:bidi="ar-SA"/>
        </w:rPr>
        <w:t>39</w:t>
      </w:r>
      <w:r>
        <w:rPr>
          <w:rFonts w:eastAsia="Times New Roman" w:cs="Times New Roman" w:ascii="Times New Roman" w:hAnsi="Times New Roman"/>
          <w:kern w:val="0"/>
          <w:sz w:val="28"/>
          <w:szCs w:val="28"/>
          <w:shd w:fill="auto" w:val="clear"/>
          <w:lang w:val="uk-UA" w:eastAsia="uk-UA" w:bidi="ar-SA"/>
        </w:rPr>
        <w:t>%) та охорони здоров'я (</w:t>
      </w:r>
      <w:r>
        <w:rPr>
          <w:rFonts w:eastAsia="Times New Roman" w:cs="Times New Roman" w:ascii="Times New Roman" w:hAnsi="Times New Roman"/>
          <w:kern w:val="0"/>
          <w:sz w:val="28"/>
          <w:szCs w:val="28"/>
          <w:shd w:fill="auto" w:val="clear"/>
          <w:lang w:val="uk-UA" w:eastAsia="uk-UA" w:bidi="ar-SA"/>
        </w:rPr>
        <w:t>43</w:t>
      </w:r>
      <w:r>
        <w:rPr>
          <w:rFonts w:eastAsia="Times New Roman" w:cs="Times New Roman" w:ascii="Times New Roman" w:hAnsi="Times New Roman"/>
          <w:kern w:val="0"/>
          <w:sz w:val="28"/>
          <w:szCs w:val="28"/>
          <w:shd w:fill="auto" w:val="clear"/>
          <w:lang w:val="uk-UA" w:eastAsia="uk-UA" w:bidi="ar-SA"/>
        </w:rPr>
        <w:t>%), закладів соціального захисту (</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будівель інших бюджетних установ (</w:t>
      </w:r>
      <w:r>
        <w:rPr>
          <w:rFonts w:eastAsia="Times New Roman" w:cs="Times New Roman" w:ascii="Times New Roman" w:hAnsi="Times New Roman"/>
          <w:kern w:val="0"/>
          <w:sz w:val="28"/>
          <w:szCs w:val="28"/>
          <w:shd w:fill="auto" w:val="clear"/>
          <w:lang w:val="uk-UA" w:eastAsia="uk-UA" w:bidi="ar-SA"/>
        </w:rPr>
        <w:t>14</w:t>
      </w:r>
      <w:r>
        <w:rPr>
          <w:rFonts w:eastAsia="Times New Roman" w:cs="Times New Roman" w:ascii="Times New Roman" w:hAnsi="Times New Roman"/>
          <w:kern w:val="0"/>
          <w:sz w:val="28"/>
          <w:szCs w:val="28"/>
          <w:shd w:fill="auto" w:val="clear"/>
          <w:lang w:val="uk-UA" w:eastAsia="uk-UA" w:bidi="ar-SA"/>
        </w:rPr>
        <w:t>%). За даними Мінрегіону, в середньому по Україні будівлі закладів освіти становлять близько 50% від загальної площі громадських споруд, що свідчить про значну концентрацію освітніх закладів у громаді.</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Частка термомодернізованих громадських будівель у громаді складає </w:t>
      </w:r>
      <w:r>
        <w:rPr>
          <w:rFonts w:eastAsia="Times New Roman" w:cs="Times New Roman" w:ascii="Times New Roman" w:hAnsi="Times New Roman"/>
          <w:kern w:val="0"/>
          <w:sz w:val="28"/>
          <w:szCs w:val="28"/>
          <w:shd w:fill="auto" w:val="clear"/>
          <w:lang w:val="uk-UA" w:eastAsia="uk-UA" w:bidi="ar-SA"/>
        </w:rPr>
        <w:t>9</w:t>
      </w:r>
      <w:r>
        <w:rPr>
          <w:rFonts w:eastAsia="Times New Roman" w:cs="Times New Roman" w:ascii="Times New Roman" w:hAnsi="Times New Roman"/>
          <w:kern w:val="0"/>
          <w:sz w:val="28"/>
          <w:szCs w:val="28"/>
          <w:shd w:fill="auto" w:val="clear"/>
          <w:lang w:val="uk-UA" w:eastAsia="uk-UA" w:bidi="ar-SA"/>
        </w:rPr>
        <w:t>%, для порівняння, в Україні, за доволі оптимістичними даними Фонду енергоефективності, термомодернізацію пройшли близько 10% громадських будівель станом за 2019 рік.</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Питоме фактичне споживання енергії при опаленні громадських будівель у громаді в середньому становить 23,25 кВт⋅год/м³, що нижче за середні показники по країні (близько 40кВт⋅год/м³).</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Електроспоживання в громадських будівлях у громаді (14,5 кВт⋅год/м²) вищий за загальноукраїнські стандарти для подібних будівель, які становлять близько 9-10 кВт⋅год/м², що вказує на можливу недостатню модернізацію електромереж.</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Зовнішнє освітлення</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Довжина лінії електропередач зовнішнього освітлення на території міста </w:t>
      </w:r>
      <w:r>
        <w:rPr>
          <w:rFonts w:eastAsia="Times New Roman" w:cs="Times New Roman" w:ascii="Times New Roman" w:hAnsi="Times New Roman"/>
          <w:kern w:val="0"/>
          <w:sz w:val="28"/>
          <w:szCs w:val="28"/>
          <w:shd w:fill="auto" w:val="clear"/>
          <w:lang w:val="uk-UA" w:eastAsia="uk-UA" w:bidi="ar-SA"/>
        </w:rPr>
        <w:t>Покров становить 252</w:t>
      </w:r>
      <w:r>
        <w:rPr>
          <w:rFonts w:eastAsia="Times New Roman" w:cs="Times New Roman" w:ascii="Times New Roman" w:hAnsi="Times New Roman"/>
          <w:kern w:val="0"/>
          <w:sz w:val="28"/>
          <w:szCs w:val="28"/>
          <w:shd w:fill="auto" w:val="clear"/>
          <w:lang w:val="uk-UA" w:eastAsia="uk-UA" w:bidi="ar-SA"/>
        </w:rPr>
        <w:t xml:space="preserve"> км. Загальна кількість світлоточок становить </w:t>
      </w:r>
      <w:r>
        <w:rPr>
          <w:rFonts w:eastAsia="Times New Roman" w:cs="Times New Roman" w:ascii="Times New Roman" w:hAnsi="Times New Roman"/>
          <w:kern w:val="0"/>
          <w:sz w:val="28"/>
          <w:szCs w:val="28"/>
          <w:shd w:fill="auto" w:val="clear"/>
          <w:lang w:val="uk-UA" w:eastAsia="uk-UA" w:bidi="ar-SA"/>
        </w:rPr>
        <w:t>5870</w:t>
      </w:r>
      <w:r>
        <w:rPr>
          <w:rFonts w:eastAsia="Times New Roman" w:cs="Times New Roman" w:ascii="Times New Roman" w:hAnsi="Times New Roman"/>
          <w:kern w:val="0"/>
          <w:sz w:val="28"/>
          <w:szCs w:val="28"/>
          <w:shd w:fill="auto" w:val="clear"/>
          <w:lang w:val="uk-UA" w:eastAsia="uk-UA" w:bidi="ar-SA"/>
        </w:rPr>
        <w:t xml:space="preserve"> шт.</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В</w:t>
      </w:r>
      <w:r>
        <w:rPr>
          <w:rFonts w:eastAsia="Times New Roman" w:cs="Times New Roman" w:ascii="Times New Roman" w:hAnsi="Times New Roman"/>
          <w:kern w:val="0"/>
          <w:sz w:val="28"/>
          <w:szCs w:val="28"/>
          <w:shd w:fill="auto" w:val="clear"/>
          <w:lang w:val="uk-UA" w:eastAsia="uk-UA" w:bidi="ar-SA"/>
        </w:rPr>
        <w:t>одопостачання</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Питоме споживання електроенергії для водопостачання в міській територіальній громаді становить 1,</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xml:space="preserve"> кВт⋅год/м³, що відповідає середнім значенням по країні. Однак значні втрати води (1</w:t>
      </w:r>
      <w:r>
        <w:rPr>
          <w:rFonts w:eastAsia="Times New Roman" w:cs="Times New Roman" w:ascii="Times New Roman" w:hAnsi="Times New Roman"/>
          <w:kern w:val="0"/>
          <w:sz w:val="28"/>
          <w:szCs w:val="28"/>
          <w:shd w:fill="auto" w:val="clear"/>
          <w:lang w:val="uk-UA" w:eastAsia="uk-UA" w:bidi="ar-SA"/>
        </w:rPr>
        <w:t>8</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4</w:t>
      </w:r>
      <w:r>
        <w:rPr>
          <w:rFonts w:eastAsia="Times New Roman" w:cs="Times New Roman" w:ascii="Times New Roman" w:hAnsi="Times New Roman"/>
          <w:kern w:val="0"/>
          <w:sz w:val="28"/>
          <w:szCs w:val="28"/>
          <w:shd w:fill="auto" w:val="clear"/>
          <w:lang w:val="uk-UA" w:eastAsia="uk-UA" w:bidi="ar-SA"/>
        </w:rPr>
        <w:t>%) у мережах централізованого водопостачання громади перевищують середній рівень по Україні (8-9%).</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Управління відходами та громадський транспорт</w:t>
      </w:r>
    </w:p>
    <w:p>
      <w:pPr>
        <w:pStyle w:val="Normal"/>
        <w:ind w:firstLine="567"/>
        <w:jc w:val="both"/>
        <w:rPr>
          <w:rFonts w:ascii="Times New Roman" w:hAnsi="Times New Roman"/>
          <w:sz w:val="26"/>
          <w:szCs w:val="26"/>
        </w:rPr>
      </w:pPr>
      <w:r>
        <w:rPr>
          <w:rFonts w:eastAsia="Times New Roman" w:cs="Times New Roman" w:ascii="Times New Roman" w:hAnsi="Times New Roman"/>
          <w:kern w:val="0"/>
          <w:sz w:val="28"/>
          <w:szCs w:val="28"/>
          <w:shd w:fill="auto" w:val="clear"/>
          <w:lang w:val="uk-UA" w:eastAsia="uk-UA" w:bidi="ar-SA"/>
        </w:rPr>
        <w:t xml:space="preserve">Частка населення, охопленого послугами з вивезення побутових відходів, у громаді становить </w:t>
      </w:r>
      <w:r>
        <w:rPr>
          <w:rFonts w:eastAsia="Times New Roman" w:cs="Times New Roman" w:ascii="Times New Roman" w:hAnsi="Times New Roman"/>
          <w:kern w:val="0"/>
          <w:sz w:val="28"/>
          <w:szCs w:val="28"/>
          <w:shd w:fill="auto" w:val="clear"/>
          <w:lang w:val="uk-UA" w:eastAsia="uk-UA" w:bidi="ar-SA"/>
        </w:rPr>
        <w:t>98</w:t>
      </w:r>
      <w:r>
        <w:rPr>
          <w:rFonts w:eastAsia="Times New Roman" w:cs="Times New Roman" w:ascii="Times New Roman" w:hAnsi="Times New Roman"/>
          <w:kern w:val="0"/>
          <w:sz w:val="28"/>
          <w:szCs w:val="28"/>
          <w:shd w:fill="auto" w:val="clear"/>
          <w:lang w:val="uk-UA" w:eastAsia="uk-UA" w:bidi="ar-SA"/>
        </w:rPr>
        <w:t xml:space="preserve">%. </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3. </w:t>
      </w:r>
      <w:r>
        <w:rPr>
          <w:rFonts w:eastAsia="Times New Roman" w:cs="Times New Roman" w:ascii="Times New Roman" w:hAnsi="Times New Roman"/>
          <w:b/>
          <w:bCs/>
          <w:color w:val="000000"/>
          <w:kern w:val="0"/>
          <w:sz w:val="28"/>
          <w:szCs w:val="28"/>
          <w:shd w:fill="auto" w:val="clear"/>
          <w:lang w:eastAsia="uk-UA"/>
        </w:rPr>
        <w:t>ЦІЛІ СТАЛОГО ЕНЕРГЕТИЧНОГО РОЗВИТКУ ТЕРИТОРІАЛЬНОЇ ГРОМАДИ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bookmarkStart w:id="47" w:name="_Toc195651496"/>
      <w:bookmarkStart w:id="48" w:name="_Toc188436427"/>
      <w:bookmarkStart w:id="49" w:name="_Toc188402871"/>
      <w:bookmarkStart w:id="50" w:name="_Toc188397520"/>
      <w:r>
        <w:rPr>
          <w:rStyle w:val="Style12"/>
          <w:rFonts w:eastAsia="Century Gothic" w:cs="Century Gothic" w:ascii="Times New Roman" w:hAnsi="Times New Roman"/>
          <w:b/>
          <w:bCs/>
          <w:color w:val="000000"/>
          <w:kern w:val="0"/>
          <w:sz w:val="28"/>
          <w:szCs w:val="28"/>
          <w:lang w:eastAsia="uk-UA"/>
        </w:rPr>
        <w:t xml:space="preserve">3.1. </w:t>
      </w:r>
      <w:bookmarkEnd w:id="47"/>
      <w:bookmarkEnd w:id="48"/>
      <w:bookmarkEnd w:id="49"/>
      <w:bookmarkEnd w:id="50"/>
      <w:r>
        <w:rPr>
          <w:rStyle w:val="Style12"/>
          <w:rFonts w:eastAsia="Century Gothic" w:cs="Century Gothic" w:ascii="Times New Roman" w:hAnsi="Times New Roman"/>
          <w:b/>
          <w:bCs/>
          <w:color w:val="000000"/>
          <w:kern w:val="0"/>
          <w:sz w:val="28"/>
          <w:szCs w:val="28"/>
          <w:lang w:eastAsia="uk-UA"/>
        </w:rPr>
        <w:t>Б</w:t>
      </w:r>
      <w:r>
        <w:rPr>
          <w:rStyle w:val="Style12"/>
          <w:rFonts w:eastAsia="Century Gothic" w:cs="Century Gothic" w:ascii="Times New Roman" w:hAnsi="Times New Roman"/>
          <w:b/>
          <w:bCs/>
          <w:color w:val="000000"/>
          <w:kern w:val="0"/>
          <w:sz w:val="28"/>
          <w:szCs w:val="28"/>
          <w:lang w:eastAsia="uk-UA"/>
        </w:rPr>
        <w:t>азов</w:t>
      </w:r>
      <w:r>
        <w:rPr>
          <w:rStyle w:val="Style12"/>
          <w:rFonts w:eastAsia="Century Gothic" w:cs="Century Gothic" w:ascii="Times New Roman" w:hAnsi="Times New Roman"/>
          <w:b/>
          <w:bCs/>
          <w:color w:val="000000"/>
          <w:kern w:val="0"/>
          <w:sz w:val="28"/>
          <w:szCs w:val="28"/>
          <w:lang w:eastAsia="uk-UA"/>
        </w:rPr>
        <w:t>а</w:t>
      </w:r>
      <w:r>
        <w:rPr>
          <w:rStyle w:val="Style12"/>
          <w:rFonts w:eastAsia="Century Gothic" w:cs="Century Gothic" w:ascii="Times New Roman" w:hAnsi="Times New Roman"/>
          <w:b/>
          <w:bCs/>
          <w:color w:val="000000"/>
          <w:kern w:val="0"/>
          <w:sz w:val="28"/>
          <w:szCs w:val="28"/>
          <w:lang w:eastAsia="uk-UA"/>
        </w:rPr>
        <w:t xml:space="preserve"> ліні</w:t>
      </w:r>
      <w:r>
        <w:rPr>
          <w:rStyle w:val="Style12"/>
          <w:rFonts w:eastAsia="Century Gothic" w:cs="Century Gothic" w:ascii="Times New Roman" w:hAnsi="Times New Roman"/>
          <w:b/>
          <w:bCs/>
          <w:color w:val="000000"/>
          <w:kern w:val="0"/>
          <w:sz w:val="28"/>
          <w:szCs w:val="28"/>
          <w:lang w:eastAsia="uk-UA"/>
        </w:rPr>
        <w:t>я</w:t>
      </w:r>
      <w:r>
        <w:rPr>
          <w:rStyle w:val="Style12"/>
          <w:rFonts w:eastAsia="Century Gothic" w:cs="Century Gothic" w:ascii="Times New Roman" w:hAnsi="Times New Roman"/>
          <w:b/>
          <w:bCs/>
          <w:color w:val="000000"/>
          <w:kern w:val="0"/>
          <w:sz w:val="28"/>
          <w:szCs w:val="28"/>
          <w:lang w:eastAsia="uk-UA"/>
        </w:rPr>
        <w:t xml:space="preserve"> споживання енергії </w:t>
      </w:r>
      <w:r>
        <w:rPr>
          <w:rStyle w:val="Style12"/>
          <w:rFonts w:eastAsia="Century Gothic" w:cs="Century Gothic" w:ascii="Times New Roman" w:hAnsi="Times New Roman"/>
          <w:b/>
          <w:bCs/>
          <w:color w:val="000000"/>
          <w:kern w:val="0"/>
          <w:sz w:val="28"/>
          <w:szCs w:val="28"/>
          <w:lang w:eastAsia="uk-UA"/>
        </w:rPr>
        <w:t>до 2030 року</w:t>
      </w:r>
    </w:p>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b w:val="false"/>
          <w:bCs w:val="false"/>
          <w:color w:val="000000"/>
          <w:kern w:val="0"/>
          <w:sz w:val="28"/>
          <w:szCs w:val="28"/>
          <w:lang w:eastAsia="uk-UA"/>
        </w:rPr>
        <w:t>Встановлення цілей сталого енер</w:t>
      </w:r>
      <w:r>
        <w:rPr>
          <w:rFonts w:eastAsia="Century Gothic" w:cs="Century Gothic" w:ascii="Times New Roman" w:hAnsi="Times New Roman"/>
          <w:b w:val="false"/>
          <w:bCs w:val="false"/>
          <w:color w:val="000000"/>
          <w:kern w:val="0"/>
          <w:sz w:val="28"/>
          <w:szCs w:val="28"/>
          <w:lang w:eastAsia="uk-UA"/>
        </w:rPr>
        <w:t>гетично</w:t>
      </w:r>
      <w:r>
        <w:rPr>
          <w:rFonts w:eastAsia="Century Gothic" w:cs="Century Gothic" w:ascii="Times New Roman" w:hAnsi="Times New Roman"/>
          <w:color w:val="000000"/>
          <w:kern w:val="0"/>
          <w:sz w:val="28"/>
          <w:szCs w:val="28"/>
          <w:lang w:eastAsia="uk-UA"/>
        </w:rPr>
        <w:t xml:space="preserve">го розвитку території </w:t>
      </w:r>
      <w:r>
        <w:rPr>
          <w:rFonts w:eastAsia="Century Gothic" w:cs="Century Gothic" w:ascii="Times New Roman" w:hAnsi="Times New Roman"/>
          <w:color w:val="000000"/>
          <w:kern w:val="0"/>
          <w:sz w:val="28"/>
          <w:szCs w:val="28"/>
          <w:lang w:eastAsia="uk-UA"/>
        </w:rPr>
        <w:t>територіальної громади</w:t>
      </w:r>
      <w:r>
        <w:rPr>
          <w:rFonts w:eastAsia="Century Gothic" w:cs="Century Gothic" w:ascii="Times New Roman" w:hAnsi="Times New Roman"/>
          <w:color w:val="000000"/>
          <w:kern w:val="0"/>
          <w:sz w:val="28"/>
          <w:szCs w:val="28"/>
          <w:lang w:eastAsia="uk-UA"/>
        </w:rPr>
        <w:t xml:space="preserve"> повинно спиратися на базову лінію споживання енергії. Базова лінія споживання енергії (далі – базова лінія) відображає прогноз споживання енергії до кінця періоду енергетичного планування та є основою для визначення цілей сталого енергетичного розвитку території територіальної громади і моніторингу їх досягнення, включаючи оцінку ефективності реалізації заходів, визначених у муніципальному енергетичному плані.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Базова лінія визначається на основі тренду енергетичного балансу шляхом коригування з урахуванням показників демографічного та економічного прогнозів розвитку території громади, а також інших впливових факторів, таких як рівень дотримання повітряно-теплового режиму, рівень освітлення та інших вимог утримання будівель, визначених державними медико-санітарними правилами і державними будівельними нормами в галузі утримання будинків, будівель, споруд, а також іншими нормативними документами.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На першому етапі визначаємо базову лінію енергоспоживання для кожного з секторів. Для цього необхідно визначити перелік впливових факторів для кожного сектора, що можуть впливати на рівень енергоспоживання. Це можуть бути: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Демографічні фактори</w:t>
      </w:r>
      <w:r>
        <w:rPr>
          <w:rFonts w:eastAsia="Century Gothic" w:cs="Century Gothic" w:ascii="Times New Roman" w:hAnsi="Times New Roman"/>
          <w:color w:val="000000"/>
          <w:kern w:val="0"/>
          <w:sz w:val="28"/>
          <w:szCs w:val="28"/>
          <w:lang w:eastAsia="uk-UA"/>
        </w:rPr>
        <w:t>: чисельність населення, структури домогосподарств, міграційні процеси.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Економічні фактори:</w:t>
      </w:r>
      <w:r>
        <w:rPr>
          <w:rFonts w:eastAsia="Century Gothic" w:cs="Century Gothic" w:ascii="Times New Roman" w:hAnsi="Times New Roman"/>
          <w:color w:val="000000"/>
          <w:kern w:val="0"/>
          <w:sz w:val="28"/>
          <w:szCs w:val="28"/>
          <w:lang w:eastAsia="uk-UA"/>
        </w:rPr>
        <w:t xml:space="preserve"> рівень виробництва, обсяги торгівлі, інвестиції в інфраструктуру.</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Технологічні фактори:</w:t>
      </w:r>
      <w:r>
        <w:rPr>
          <w:rFonts w:eastAsia="Century Gothic" w:cs="Century Gothic" w:ascii="Times New Roman" w:hAnsi="Times New Roman"/>
          <w:color w:val="000000"/>
          <w:kern w:val="0"/>
          <w:sz w:val="28"/>
          <w:szCs w:val="28"/>
          <w:lang w:eastAsia="uk-UA"/>
        </w:rPr>
        <w:t xml:space="preserve"> впровадження нових технологій, рівень енергоефективності обладнання.</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Екологічні фактори:</w:t>
      </w:r>
      <w:r>
        <w:rPr>
          <w:rFonts w:eastAsia="Century Gothic" w:cs="Century Gothic" w:ascii="Times New Roman" w:hAnsi="Times New Roman"/>
          <w:color w:val="000000"/>
          <w:kern w:val="0"/>
          <w:sz w:val="28"/>
          <w:szCs w:val="28"/>
          <w:lang w:eastAsia="uk-UA"/>
        </w:rPr>
        <w:t xml:space="preserve"> вимоги до енергетичної ефективності та зменшення викидів, що регулюються законодавством.</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Сезонні та кліматичні фактори</w:t>
      </w:r>
      <w:r>
        <w:rPr>
          <w:rFonts w:eastAsia="Century Gothic" w:cs="Century Gothic" w:ascii="Times New Roman" w:hAnsi="Times New Roman"/>
          <w:color w:val="000000"/>
          <w:kern w:val="0"/>
          <w:sz w:val="28"/>
          <w:szCs w:val="28"/>
          <w:lang w:eastAsia="uk-UA"/>
        </w:rPr>
        <w:t>: коливання температури, тривалість опалювального сезону, потреба в кондиціонуванні.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Після визначення впливових факторів за допомогою аналізу історичних даних будуємо лінію тренду, що дозволяє прогнозувати енергоспоживання в кожному секторі. На основі отриманих результатів проводимо сумування енергетичного споживання кожного з секторів, що дає змогу визначити загальну базову лінію муніципального енергетичного планування.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Ця базова лінія слугуватиме основою для подальшого моніторингу та оцінки ефективності реалізації заходів, передбачених у плані, а також для формування цілей сталого енергетичного розвитку територіальної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Базова лінія споживання енергії на території громади повинна бути представлена в графічній та табличній формі, включаючи основні кількісні показники на початок і кінець періоду енергетичного планування в розрізі пріоритетних секторів.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Базова лінія споживання енергії не лише відображає актуальний стан енергетичних потреб територіальної громади, але й слугує основою для подальшого планування заходів з енергетичної ефективності та розвитку відновлювальних джерел енергії. Правильне визначення і моніторинг базової лінії допоможуть досягти цілей сталого енергетичного розвитку, зменшити витрати на енергію та покращити екологічну ситуацію на території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t xml:space="preserve">Базова лінія енергоспоживання та прогнозованого енергоспоживання за секторами </w:t>
      </w:r>
      <w:r>
        <w:rPr>
          <w:rFonts w:eastAsia="Century Gothic" w:cs="Century Gothic" w:ascii="Times New Roman" w:hAnsi="Times New Roman"/>
          <w:b/>
          <w:bCs/>
          <w:color w:val="000000"/>
          <w:kern w:val="0"/>
          <w:sz w:val="28"/>
          <w:szCs w:val="28"/>
          <w:lang w:eastAsia="uk-UA"/>
        </w:rPr>
        <w:drawing>
          <wp:inline distT="0" distB="0" distL="0" distR="0">
            <wp:extent cx="5875655" cy="2553970"/>
            <wp:effectExtent l="0" t="0" r="0" b="0"/>
            <wp:docPr id="11" name="Об'єкт50"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побудови базової лінії енергоспоживання обрано як основу 20</w:t>
      </w:r>
      <w:r>
        <w:rPr>
          <w:rFonts w:eastAsia="Century Gothic" w:cs="Century Gothic" w:ascii="Times New Roman" w:hAnsi="Times New Roman"/>
          <w:color w:val="000000"/>
          <w:kern w:val="0"/>
          <w:sz w:val="28"/>
          <w:szCs w:val="28"/>
          <w:lang w:eastAsia="uk-UA"/>
        </w:rPr>
        <w:t>24</w:t>
      </w:r>
      <w:r>
        <w:rPr>
          <w:rFonts w:eastAsia="Century Gothic" w:cs="Century Gothic" w:ascii="Times New Roman" w:hAnsi="Times New Roman"/>
          <w:color w:val="000000"/>
          <w:kern w:val="0"/>
          <w:sz w:val="28"/>
          <w:szCs w:val="28"/>
          <w:lang w:eastAsia="uk-UA"/>
        </w:rPr>
        <w:t xml:space="preserve"> рік. Відповідно інформація за заходами для покращення енергоефективності та розвитку </w:t>
      </w:r>
      <w:r>
        <w:rPr>
          <w:rFonts w:eastAsia="Century Gothic" w:cs="Century Gothic" w:ascii="Times New Roman" w:hAnsi="Times New Roman"/>
          <w:color w:val="000000"/>
          <w:kern w:val="0"/>
          <w:sz w:val="28"/>
          <w:szCs w:val="28"/>
          <w:lang w:eastAsia="uk-UA"/>
        </w:rPr>
        <w:t>відновлювальних джерел енергії буде надаватися за період</w:t>
      </w:r>
      <w:r>
        <w:rPr>
          <w:rFonts w:eastAsia="Century Gothic" w:cs="Century Gothic" w:ascii="Times New Roman" w:hAnsi="Times New Roman"/>
          <w:color w:val="000000"/>
          <w:kern w:val="0"/>
          <w:sz w:val="28"/>
          <w:szCs w:val="28"/>
          <w:lang w:eastAsia="uk-UA"/>
        </w:rPr>
        <w:t>, починаючи з 20</w:t>
      </w:r>
      <w:r>
        <w:rPr>
          <w:rFonts w:eastAsia="Century Gothic" w:cs="Century Gothic" w:ascii="Times New Roman" w:hAnsi="Times New Roman"/>
          <w:color w:val="000000"/>
          <w:kern w:val="0"/>
          <w:sz w:val="28"/>
          <w:szCs w:val="28"/>
          <w:lang w:eastAsia="uk-UA"/>
        </w:rPr>
        <w:t>24</w:t>
      </w:r>
      <w:r>
        <w:rPr>
          <w:rFonts w:eastAsia="Century Gothic" w:cs="Century Gothic" w:ascii="Times New Roman" w:hAnsi="Times New Roman"/>
          <w:color w:val="000000"/>
          <w:kern w:val="0"/>
          <w:sz w:val="28"/>
          <w:szCs w:val="28"/>
          <w:lang w:eastAsia="uk-UA"/>
        </w:rPr>
        <w:t xml:space="preserve"> року.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кращого розуміння шляхів досягнення встановлених цілей та з метою надання інформації, що є необхідною під час звітування про виконання МЕП, надається інформація в розрізі секторів енергетичного планування щодо прогнозованого кінцевого споживання енергії, щорічних індикативних показників підвищення енергоефективності та підвищення частки відновлюваних джерел енергії в кінцевому споживанні енергії.</w:t>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t>Зведена таблиця фактичного енергоспоживання за секторами, Мвт⋅год</w:t>
      </w:r>
    </w:p>
    <w:tbl>
      <w:tblPr>
        <w:tblW w:w="9645" w:type="dxa"/>
        <w:jc w:val="start"/>
        <w:tblInd w:w="-5" w:type="dxa"/>
        <w:tblLayout w:type="fixed"/>
        <w:tblCellMar>
          <w:top w:w="55" w:type="dxa"/>
          <w:start w:w="55" w:type="dxa"/>
          <w:bottom w:w="55" w:type="dxa"/>
          <w:end w:w="55" w:type="dxa"/>
        </w:tblCellMar>
      </w:tblPr>
      <w:tblGrid>
        <w:gridCol w:w="510"/>
        <w:gridCol w:w="4140"/>
        <w:gridCol w:w="1980"/>
        <w:gridCol w:w="1590"/>
        <w:gridCol w:w="1425"/>
      </w:tblGrid>
      <w:tr>
        <w:trPr>
          <w:trHeight w:val="51" w:hRule="atLeast"/>
        </w:trPr>
        <w:tc>
          <w:tcPr>
            <w:tcW w:w="51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414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 xml:space="preserve">Назва </w:t>
            </w:r>
          </w:p>
        </w:tc>
        <w:tc>
          <w:tcPr>
            <w:tcW w:w="198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2022</w:t>
            </w:r>
          </w:p>
        </w:tc>
        <w:tc>
          <w:tcPr>
            <w:tcW w:w="159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2023</w:t>
            </w:r>
          </w:p>
        </w:tc>
        <w:tc>
          <w:tcPr>
            <w:tcW w:w="1425"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Громадські будівлі</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24726</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23231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20510</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водопостачання</w:t>
            </w:r>
          </w:p>
          <w:p>
            <w:pPr>
              <w:pStyle w:val="Style20"/>
              <w:rPr>
                <w:rFonts w:ascii="Times New Roman" w:hAnsi="Times New Roman"/>
                <w:sz w:val="28"/>
                <w:szCs w:val="28"/>
              </w:rPr>
            </w:pPr>
            <w:r>
              <w:rPr>
                <w:rFonts w:ascii="Times New Roman" w:hAnsi="Times New Roman"/>
                <w:sz w:val="28"/>
                <w:szCs w:val="28"/>
              </w:rPr>
              <w:t>і водовідведення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3215</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3381</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зовнішнього освітлення</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1253</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1246</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1377</w:t>
            </w:r>
          </w:p>
        </w:tc>
      </w:tr>
      <w:tr>
        <w:trPr>
          <w:trHeight w:val="51" w:hRule="atLeast"/>
        </w:trPr>
        <w:tc>
          <w:tcPr>
            <w:tcW w:w="51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з управління</w:t>
            </w:r>
          </w:p>
          <w:p>
            <w:pPr>
              <w:pStyle w:val="Style2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побутовими відходами</w:t>
            </w:r>
          </w:p>
        </w:tc>
        <w:tc>
          <w:tcPr>
            <w:tcW w:w="198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664</w:t>
            </w:r>
          </w:p>
        </w:tc>
        <w:tc>
          <w:tcPr>
            <w:tcW w:w="1590" w:type="dxa"/>
            <w:tcBorders>
              <w:start w:val="single" w:sz="4" w:space="0" w:color="000000"/>
              <w:bottom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568</w:t>
            </w:r>
          </w:p>
        </w:tc>
        <w:tc>
          <w:tcPr>
            <w:tcW w:w="1425" w:type="dxa"/>
            <w:tcBorders>
              <w:start w:val="single" w:sz="4" w:space="0" w:color="000000"/>
              <w:bottom w:val="single" w:sz="4" w:space="0" w:color="000000"/>
              <w:end w:val="single" w:sz="4" w:space="0" w:color="000000"/>
            </w:tcBorders>
          </w:tcPr>
          <w:p>
            <w:pPr>
              <w:pStyle w:val="Style20"/>
              <w:suppressAutoHyphens w:val="false"/>
              <w:kinsoku w:val="true"/>
              <w:overflowPunct w:val="true"/>
              <w:autoSpaceDE w:val="true"/>
              <w:bidi w:val="0"/>
              <w:spacing w:lineRule="auto" w:line="240"/>
              <w:jc w:val="center"/>
              <w:rPr>
                <w:rFonts w:ascii="Times New Roman" w:hAnsi="Times New Roman" w:eastAsia="SimSun" w:cs="Times New Roman"/>
                <w:color w:val="auto"/>
                <w:kern w:val="2"/>
                <w:sz w:val="28"/>
                <w:szCs w:val="28"/>
                <w:lang w:val="uk-UA" w:eastAsia="zh-CN" w:bidi="hi-IN"/>
              </w:rPr>
            </w:pPr>
            <w:r>
              <w:rPr>
                <w:rFonts w:eastAsia="SimSun" w:cs="Times New Roman" w:ascii="Times New Roman" w:hAnsi="Times New Roman"/>
                <w:color w:val="auto"/>
                <w:kern w:val="2"/>
                <w:sz w:val="28"/>
                <w:szCs w:val="28"/>
                <w:lang w:val="uk-UA" w:eastAsia="zh-CN" w:bidi="hi-IN"/>
              </w:rPr>
              <w:t>504</w:t>
            </w:r>
          </w:p>
        </w:tc>
      </w:tr>
      <w:tr>
        <w:trPr>
          <w:trHeight w:val="51" w:hRule="atLeast"/>
        </w:trPr>
        <w:tc>
          <w:tcPr>
            <w:tcW w:w="51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5</w:t>
            </w:r>
          </w:p>
        </w:tc>
        <w:tc>
          <w:tcPr>
            <w:tcW w:w="414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Об’єкти теплопостачання</w:t>
            </w:r>
          </w:p>
        </w:tc>
        <w:tc>
          <w:tcPr>
            <w:tcW w:w="19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153</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301</w:t>
            </w:r>
          </w:p>
        </w:tc>
        <w:tc>
          <w:tcPr>
            <w:tcW w:w="14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295</w:t>
            </w:r>
          </w:p>
        </w:tc>
      </w:tr>
      <w:tr>
        <w:trPr>
          <w:trHeight w:val="51" w:hRule="atLeast"/>
        </w:trPr>
        <w:tc>
          <w:tcPr>
            <w:tcW w:w="51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r>
          </w:p>
        </w:tc>
        <w:tc>
          <w:tcPr>
            <w:tcW w:w="4140"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Разом</w:t>
            </w:r>
          </w:p>
        </w:tc>
        <w:tc>
          <w:tcPr>
            <w:tcW w:w="198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30009</w:t>
            </w:r>
          </w:p>
        </w:tc>
        <w:tc>
          <w:tcPr>
            <w:tcW w:w="1590"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28561</w:t>
            </w:r>
          </w:p>
        </w:tc>
        <w:tc>
          <w:tcPr>
            <w:tcW w:w="14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6067</w:t>
            </w:r>
          </w:p>
        </w:tc>
      </w:tr>
    </w:tbl>
    <w:p>
      <w:pPr>
        <w:pStyle w:val="Normal"/>
        <w:ind w:firstLine="567"/>
        <w:jc w:val="both"/>
        <w:rPr>
          <w:rFonts w:ascii="Times New Roman" w:hAnsi="Times New Roman"/>
          <w:sz w:val="26"/>
          <w:szCs w:val="26"/>
        </w:rPr>
      </w:pPr>
      <w:r>
        <w:rPr>
          <w:rFonts w:ascii="Times New Roman" w:hAnsi="Times New Roman"/>
          <w:b/>
          <w:bCs/>
          <w:sz w:val="28"/>
          <w:szCs w:val="28"/>
          <w:shd w:fill="auto" w:val="clear"/>
        </w:rPr>
      </w:r>
    </w:p>
    <w:p>
      <w:pPr>
        <w:pStyle w:val="Normal"/>
        <w:spacing w:lineRule="auto" w:line="276" w:before="0" w:after="0"/>
        <w:jc w:val="center"/>
        <w:rPr>
          <w:rFonts w:ascii="Times New Roman" w:hAnsi="Times New Roman"/>
          <w:b/>
          <w:bCs/>
          <w:sz w:val="28"/>
          <w:szCs w:val="28"/>
          <w:shd w:fill="auto" w:val="clear"/>
        </w:rPr>
      </w:pPr>
      <w:r>
        <w:rPr>
          <w:rFonts w:ascii="Times New Roman" w:hAnsi="Times New Roman"/>
          <w:b/>
          <w:bCs/>
          <w:sz w:val="28"/>
          <w:szCs w:val="28"/>
          <w:shd w:fill="auto" w:val="clear"/>
        </w:rPr>
        <w:t>Зведена таблиця прогнозного енергоспоживання за секторами, Мвт⋅год</w:t>
      </w:r>
    </w:p>
    <w:tbl>
      <w:tblPr>
        <w:tblW w:w="9645" w:type="dxa"/>
        <w:jc w:val="start"/>
        <w:tblInd w:w="-5" w:type="dxa"/>
        <w:tblLayout w:type="fixed"/>
        <w:tblCellMar>
          <w:top w:w="55" w:type="dxa"/>
          <w:start w:w="55" w:type="dxa"/>
          <w:bottom w:w="55" w:type="dxa"/>
          <w:end w:w="55" w:type="dxa"/>
        </w:tblCellMar>
      </w:tblPr>
      <w:tblGrid>
        <w:gridCol w:w="352"/>
        <w:gridCol w:w="2870"/>
        <w:gridCol w:w="1203"/>
        <w:gridCol w:w="1080"/>
        <w:gridCol w:w="960"/>
        <w:gridCol w:w="1140"/>
        <w:gridCol w:w="960"/>
        <w:gridCol w:w="1080"/>
      </w:tblGrid>
      <w:tr>
        <w:trPr>
          <w:trHeight w:val="51" w:hRule="atLeast"/>
        </w:trPr>
        <w:tc>
          <w:tcPr>
            <w:tcW w:w="352"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w:t>
            </w:r>
          </w:p>
        </w:tc>
        <w:tc>
          <w:tcPr>
            <w:tcW w:w="287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 xml:space="preserve">Назва </w:t>
            </w:r>
          </w:p>
        </w:tc>
        <w:tc>
          <w:tcPr>
            <w:tcW w:w="1203"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w:t>
            </w:r>
            <w:r>
              <w:rPr>
                <w:rFonts w:ascii="Times New Roman" w:hAnsi="Times New Roman"/>
                <w:b/>
                <w:bCs/>
                <w:sz w:val="28"/>
                <w:szCs w:val="28"/>
              </w:rPr>
              <w:t>5</w:t>
            </w:r>
          </w:p>
        </w:tc>
        <w:tc>
          <w:tcPr>
            <w:tcW w:w="108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w:t>
            </w:r>
            <w:r>
              <w:rPr>
                <w:rFonts w:ascii="Times New Roman" w:hAnsi="Times New Roman"/>
                <w:b/>
                <w:bCs/>
                <w:sz w:val="28"/>
                <w:szCs w:val="28"/>
              </w:rPr>
              <w:t>6</w:t>
            </w:r>
          </w:p>
        </w:tc>
        <w:tc>
          <w:tcPr>
            <w:tcW w:w="96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w:t>
            </w:r>
            <w:r>
              <w:rPr>
                <w:rFonts w:ascii="Times New Roman" w:hAnsi="Times New Roman"/>
                <w:b/>
                <w:bCs/>
                <w:sz w:val="28"/>
                <w:szCs w:val="28"/>
              </w:rPr>
              <w:t>7</w:t>
            </w:r>
          </w:p>
        </w:tc>
        <w:tc>
          <w:tcPr>
            <w:tcW w:w="114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2028</w:t>
            </w:r>
          </w:p>
        </w:tc>
        <w:tc>
          <w:tcPr>
            <w:tcW w:w="960" w:type="dxa"/>
            <w:tcBorders>
              <w:top w:val="single" w:sz="4" w:space="0" w:color="000000"/>
              <w:start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2029</w:t>
            </w:r>
          </w:p>
        </w:tc>
        <w:tc>
          <w:tcPr>
            <w:tcW w:w="1080"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8"/>
                <w:szCs w:val="28"/>
              </w:rPr>
            </w:pPr>
            <w:r>
              <w:rPr>
                <w:rFonts w:ascii="Times New Roman" w:hAnsi="Times New Roman"/>
                <w:b/>
                <w:bCs/>
                <w:sz w:val="28"/>
                <w:szCs w:val="28"/>
              </w:rPr>
              <w:t>2030</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1</w:t>
            </w:r>
          </w:p>
        </w:tc>
        <w:tc>
          <w:tcPr>
            <w:tcW w:w="287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Громадські будівлі</w:t>
            </w:r>
          </w:p>
        </w:tc>
        <w:tc>
          <w:tcPr>
            <w:tcW w:w="120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w:t>
            </w:r>
            <w:r>
              <w:rPr>
                <w:rFonts w:ascii="Times New Roman" w:hAnsi="Times New Roman"/>
                <w:sz w:val="28"/>
                <w:szCs w:val="28"/>
                <w:shd w:fill="auto" w:val="clear"/>
              </w:rPr>
              <w:t>420</w:t>
            </w:r>
          </w:p>
        </w:tc>
        <w:tc>
          <w:tcPr>
            <w:tcW w:w="10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20</w:t>
            </w:r>
            <w:r>
              <w:rPr>
                <w:rFonts w:ascii="Times New Roman" w:hAnsi="Times New Roman"/>
                <w:sz w:val="28"/>
                <w:szCs w:val="28"/>
                <w:shd w:fill="auto" w:val="clear"/>
              </w:rPr>
              <w:t>350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19750</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19400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18900</w:t>
            </w:r>
          </w:p>
        </w:tc>
        <w:tc>
          <w:tcPr>
            <w:tcW w:w="108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18251</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2</w:t>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водопостачання</w:t>
            </w:r>
          </w:p>
          <w:p>
            <w:pPr>
              <w:pStyle w:val="Style20"/>
              <w:rPr>
                <w:rFonts w:ascii="Times New Roman" w:hAnsi="Times New Roman"/>
                <w:sz w:val="28"/>
                <w:szCs w:val="28"/>
                <w:shd w:fill="auto" w:val="clear"/>
              </w:rPr>
            </w:pPr>
            <w:r>
              <w:rPr>
                <w:rFonts w:ascii="Times New Roman" w:hAnsi="Times New Roman"/>
                <w:sz w:val="28"/>
                <w:szCs w:val="28"/>
                <w:shd w:fill="auto" w:val="clear"/>
              </w:rPr>
              <w:t>і водовідведення</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2733</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2623</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2579</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2437</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2380</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2222</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3</w:t>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зовнішнього освітлення</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1247</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9</w:t>
            </w:r>
            <w:r>
              <w:rPr>
                <w:rFonts w:ascii="Times New Roman" w:hAnsi="Times New Roman"/>
                <w:sz w:val="28"/>
                <w:szCs w:val="28"/>
                <w:shd w:fill="auto" w:val="clear"/>
              </w:rPr>
              <w:t>25</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8</w:t>
            </w:r>
            <w:r>
              <w:rPr>
                <w:rFonts w:ascii="Times New Roman" w:hAnsi="Times New Roman"/>
                <w:sz w:val="28"/>
                <w:szCs w:val="28"/>
                <w:shd w:fill="auto" w:val="clear"/>
              </w:rPr>
              <w:t>10</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7</w:t>
            </w:r>
            <w:r>
              <w:rPr>
                <w:rFonts w:ascii="Times New Roman" w:hAnsi="Times New Roman"/>
                <w:sz w:val="28"/>
                <w:szCs w:val="28"/>
                <w:shd w:fill="auto" w:val="clear"/>
              </w:rPr>
              <w:t>98</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477</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473</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8"/>
                <w:szCs w:val="28"/>
              </w:rPr>
            </w:pPr>
            <w:r>
              <w:rPr>
                <w:rFonts w:ascii="Times New Roman" w:hAnsi="Times New Roman"/>
                <w:sz w:val="28"/>
                <w:szCs w:val="28"/>
              </w:rPr>
              <w:t>4</w:t>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з управління</w:t>
            </w:r>
          </w:p>
          <w:p>
            <w:pPr>
              <w:pStyle w:val="Style20"/>
              <w:rPr>
                <w:rFonts w:ascii="Times New Roman" w:hAnsi="Times New Roman"/>
                <w:sz w:val="28"/>
                <w:szCs w:val="28"/>
                <w:shd w:fill="auto" w:val="clear"/>
              </w:rPr>
            </w:pPr>
            <w:r>
              <w:rPr>
                <w:rFonts w:ascii="Times New Roman" w:hAnsi="Times New Roman"/>
                <w:sz w:val="28"/>
                <w:szCs w:val="28"/>
                <w:shd w:fill="auto" w:val="clear"/>
              </w:rPr>
              <w:t xml:space="preserve"> </w:t>
            </w:r>
            <w:r>
              <w:rPr>
                <w:rFonts w:ascii="Times New Roman" w:hAnsi="Times New Roman"/>
                <w:sz w:val="28"/>
                <w:szCs w:val="28"/>
                <w:shd w:fill="auto" w:val="clear"/>
              </w:rPr>
              <w:t>побутовими відходами</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498</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487</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463</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442</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438</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434</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t>5</w:t>
            </w:r>
          </w:p>
        </w:tc>
        <w:tc>
          <w:tcPr>
            <w:tcW w:w="2870" w:type="dxa"/>
            <w:tcBorders>
              <w:top w:val="single" w:sz="4" w:space="0" w:color="000000"/>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Об’єкти теплопостачання</w:t>
            </w:r>
          </w:p>
        </w:tc>
        <w:tc>
          <w:tcPr>
            <w:tcW w:w="1203"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w:t>
            </w:r>
            <w:r>
              <w:rPr>
                <w:rFonts w:ascii="Times New Roman" w:hAnsi="Times New Roman"/>
                <w:sz w:val="28"/>
                <w:szCs w:val="28"/>
                <w:shd w:fill="auto" w:val="clear"/>
              </w:rPr>
              <w:t>70</w:t>
            </w:r>
          </w:p>
        </w:tc>
        <w:tc>
          <w:tcPr>
            <w:tcW w:w="10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320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290</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280</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270</w:t>
            </w:r>
          </w:p>
        </w:tc>
        <w:tc>
          <w:tcPr>
            <w:tcW w:w="108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230</w:t>
            </w:r>
          </w:p>
        </w:tc>
      </w:tr>
      <w:tr>
        <w:trPr>
          <w:trHeight w:val="51" w:hRule="atLeast"/>
        </w:trPr>
        <w:tc>
          <w:tcPr>
            <w:tcW w:w="352" w:type="dxa"/>
            <w:tcBorders>
              <w:start w:val="single" w:sz="4" w:space="0" w:color="000000"/>
              <w:bottom w:val="single" w:sz="4" w:space="0" w:color="000000"/>
            </w:tcBorders>
          </w:tcPr>
          <w:p>
            <w:pPr>
              <w:pStyle w:val="Style20"/>
              <w:rPr>
                <w:rFonts w:ascii="Times New Roman" w:hAnsi="Times New Roman"/>
                <w:sz w:val="28"/>
                <w:szCs w:val="28"/>
              </w:rPr>
            </w:pPr>
            <w:r>
              <w:rPr>
                <w:rFonts w:ascii="Times New Roman" w:hAnsi="Times New Roman"/>
                <w:sz w:val="28"/>
                <w:szCs w:val="28"/>
              </w:rPr>
            </w:r>
          </w:p>
        </w:tc>
        <w:tc>
          <w:tcPr>
            <w:tcW w:w="2870" w:type="dxa"/>
            <w:tcBorders>
              <w:start w:val="single" w:sz="4" w:space="0" w:color="000000"/>
              <w:bottom w:val="single" w:sz="4" w:space="0" w:color="000000"/>
            </w:tcBorders>
          </w:tcPr>
          <w:p>
            <w:pPr>
              <w:pStyle w:val="Style20"/>
              <w:rPr>
                <w:rFonts w:ascii="Times New Roman" w:hAnsi="Times New Roman"/>
                <w:sz w:val="28"/>
                <w:szCs w:val="28"/>
                <w:shd w:fill="auto" w:val="clear"/>
              </w:rPr>
            </w:pPr>
            <w:r>
              <w:rPr>
                <w:rFonts w:ascii="Times New Roman" w:hAnsi="Times New Roman"/>
                <w:sz w:val="28"/>
                <w:szCs w:val="28"/>
                <w:shd w:fill="auto" w:val="clear"/>
              </w:rPr>
              <w:t>Разом</w:t>
            </w:r>
          </w:p>
        </w:tc>
        <w:tc>
          <w:tcPr>
            <w:tcW w:w="1203"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25168</w:t>
            </w:r>
          </w:p>
        </w:tc>
        <w:tc>
          <w:tcPr>
            <w:tcW w:w="108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24714</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23892</w:t>
            </w:r>
          </w:p>
        </w:tc>
        <w:tc>
          <w:tcPr>
            <w:tcW w:w="114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23357</w:t>
            </w:r>
          </w:p>
        </w:tc>
        <w:tc>
          <w:tcPr>
            <w:tcW w:w="960" w:type="dxa"/>
            <w:tcBorders>
              <w:start w:val="single" w:sz="4" w:space="0" w:color="000000"/>
              <w:bottom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22465</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8"/>
                <w:szCs w:val="28"/>
                <w:shd w:fill="auto" w:val="clear"/>
              </w:rPr>
            </w:pPr>
            <w:r>
              <w:rPr>
                <w:rFonts w:ascii="Times New Roman" w:hAnsi="Times New Roman"/>
                <w:sz w:val="28"/>
                <w:szCs w:val="28"/>
                <w:shd w:fill="auto" w:val="clear"/>
              </w:rPr>
              <w:t>2</w:t>
            </w:r>
            <w:r>
              <w:rPr>
                <w:rFonts w:ascii="Times New Roman" w:hAnsi="Times New Roman"/>
                <w:sz w:val="28"/>
                <w:szCs w:val="28"/>
                <w:shd w:fill="auto" w:val="clear"/>
              </w:rPr>
              <w:t>1610</w:t>
            </w:r>
          </w:p>
        </w:tc>
      </w:tr>
    </w:tbl>
    <w:p>
      <w:pPr>
        <w:pStyle w:val="Normal"/>
        <w:ind w:firstLine="567"/>
        <w:jc w:val="center"/>
        <w:rPr>
          <w:rFonts w:ascii="Times New Roman" w:hAnsi="Times New Roman"/>
          <w:sz w:val="26"/>
          <w:szCs w:val="26"/>
        </w:rPr>
      </w:pPr>
      <w:r>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shd w:fill="auto" w:val="clear"/>
          <w:lang w:eastAsia="uk-UA"/>
        </w:rPr>
        <w:t xml:space="preserve">Паливно-енергетичний баланс громади та базова лінія побудовані як сума балансів основних комунальних інфраструктур без урахування споживання енергетичних ресурсів промисловим сектором та сектором надання послуг, а також споживання палива приватним автомобільним транспортом (за відсутності статистичної бази). Дані щодо споживання енергетичних ресурсів  </w:t>
      </w:r>
      <w:r>
        <w:rPr>
          <w:rFonts w:eastAsia="Century Gothic" w:cs="Century Gothic" w:ascii="Times New Roman" w:hAnsi="Times New Roman"/>
          <w:b w:val="false"/>
          <w:bCs w:val="false"/>
          <w:color w:val="000000"/>
          <w:kern w:val="0"/>
          <w:sz w:val="28"/>
          <w:szCs w:val="28"/>
          <w:shd w:fill="auto" w:val="clear"/>
          <w:lang w:eastAsia="uk-UA"/>
        </w:rPr>
        <w:t>сектором житлові будівлі</w:t>
      </w:r>
      <w:r>
        <w:rPr>
          <w:rFonts w:eastAsia="Century Gothic" w:cs="Century Gothic" w:ascii="Times New Roman" w:hAnsi="Times New Roman"/>
          <w:b w:val="false"/>
          <w:bCs w:val="false"/>
          <w:color w:val="000000"/>
          <w:kern w:val="0"/>
          <w:sz w:val="28"/>
          <w:szCs w:val="28"/>
          <w:shd w:fill="auto" w:val="clear"/>
          <w:lang w:eastAsia="uk-UA"/>
        </w:rPr>
        <w:t xml:space="preserve"> також відсутн</w:t>
      </w:r>
      <w:r>
        <w:rPr>
          <w:rFonts w:eastAsia="Century Gothic" w:cs="Century Gothic" w:ascii="Times New Roman" w:hAnsi="Times New Roman"/>
          <w:b w:val="false"/>
          <w:bCs w:val="false"/>
          <w:color w:val="000000"/>
          <w:kern w:val="0"/>
          <w:sz w:val="28"/>
          <w:szCs w:val="28"/>
          <w:shd w:fill="auto" w:val="clear"/>
          <w:lang w:eastAsia="uk-UA"/>
        </w:rPr>
        <w:t>і</w:t>
      </w:r>
      <w:r>
        <w:rPr>
          <w:rFonts w:eastAsia="Century Gothic" w:cs="Century Gothic" w:ascii="Times New Roman" w:hAnsi="Times New Roman"/>
          <w:b w:val="false"/>
          <w:bCs w:val="false"/>
          <w:color w:val="000000"/>
          <w:kern w:val="0"/>
          <w:sz w:val="28"/>
          <w:szCs w:val="28"/>
          <w:shd w:fill="auto" w:val="clear"/>
          <w:lang w:eastAsia="uk-UA"/>
        </w:rPr>
        <w:t>.</w:t>
      </w:r>
    </w:p>
    <w:p>
      <w:pPr>
        <w:pStyle w:val="Normal"/>
        <w:ind w:firstLine="567"/>
        <w:jc w:val="both"/>
        <w:rPr>
          <w:rFonts w:ascii="Times New Roman" w:hAnsi="Times New Roman"/>
          <w:sz w:val="26"/>
          <w:szCs w:val="26"/>
        </w:rPr>
      </w:pPr>
      <w:r>
        <w:rPr>
          <w:rStyle w:val="Style12"/>
          <w:rFonts w:eastAsia="Century Gothic" w:cs="Century Gothic" w:ascii="Times New Roman" w:hAnsi="Times New Roman"/>
          <w:b w:val="false"/>
          <w:bCs w:val="false"/>
          <w:color w:val="000000"/>
          <w:kern w:val="0"/>
          <w:sz w:val="28"/>
          <w:szCs w:val="28"/>
          <w:shd w:fill="auto" w:val="clear"/>
          <w:lang w:eastAsia="uk-UA"/>
        </w:rPr>
        <w:t>Аналіз даних щодо фактичного енергоспоживання у 202</w:t>
      </w:r>
      <w:r>
        <w:rPr>
          <w:rStyle w:val="Style12"/>
          <w:rFonts w:eastAsia="Century Gothic" w:cs="Century Gothic" w:ascii="Times New Roman" w:hAnsi="Times New Roman"/>
          <w:b w:val="false"/>
          <w:bCs w:val="false"/>
          <w:color w:val="000000"/>
          <w:kern w:val="0"/>
          <w:sz w:val="28"/>
          <w:szCs w:val="28"/>
          <w:shd w:fill="auto" w:val="clear"/>
          <w:lang w:eastAsia="uk-UA"/>
        </w:rPr>
        <w:t>4</w:t>
      </w:r>
      <w:r>
        <w:rPr>
          <w:rStyle w:val="Style12"/>
          <w:rFonts w:eastAsia="Century Gothic" w:cs="Century Gothic" w:ascii="Times New Roman" w:hAnsi="Times New Roman"/>
          <w:b w:val="false"/>
          <w:bCs w:val="false"/>
          <w:color w:val="000000"/>
          <w:kern w:val="0"/>
          <w:sz w:val="28"/>
          <w:szCs w:val="28"/>
          <w:shd w:fill="auto" w:val="clear"/>
          <w:lang w:eastAsia="uk-UA"/>
        </w:rPr>
        <w:t xml:space="preserve"> році (</w:t>
      </w:r>
      <w:r>
        <w:rPr>
          <w:rStyle w:val="Style12"/>
          <w:rFonts w:eastAsia="Century Gothic" w:cs="Century Gothic" w:ascii="Times New Roman" w:hAnsi="Times New Roman"/>
          <w:b w:val="false"/>
          <w:bCs w:val="false"/>
          <w:color w:val="000000"/>
          <w:kern w:val="0"/>
          <w:sz w:val="28"/>
          <w:szCs w:val="28"/>
          <w:shd w:fill="auto" w:val="clear"/>
          <w:lang w:eastAsia="uk-UA"/>
        </w:rPr>
        <w:t>26</w:t>
      </w:r>
      <w:r>
        <w:rPr>
          <w:rStyle w:val="Style12"/>
          <w:rFonts w:eastAsia="Century Gothic" w:cs="Century Gothic" w:ascii="Times New Roman" w:hAnsi="Times New Roman"/>
          <w:b w:val="false"/>
          <w:bCs w:val="false"/>
          <w:color w:val="000000"/>
          <w:kern w:val="0"/>
          <w:sz w:val="28"/>
          <w:szCs w:val="28"/>
          <w:shd w:fill="auto" w:val="clear"/>
          <w:lang w:eastAsia="uk-UA"/>
        </w:rPr>
        <w:t> </w:t>
      </w:r>
      <w:r>
        <w:rPr>
          <w:rStyle w:val="Style12"/>
          <w:rFonts w:eastAsia="Century Gothic" w:cs="Century Gothic" w:ascii="Times New Roman" w:hAnsi="Times New Roman"/>
          <w:b w:val="false"/>
          <w:bCs w:val="false"/>
          <w:color w:val="000000"/>
          <w:kern w:val="0"/>
          <w:sz w:val="28"/>
          <w:szCs w:val="28"/>
          <w:shd w:fill="auto" w:val="clear"/>
          <w:lang w:eastAsia="uk-UA"/>
        </w:rPr>
        <w:t>067</w:t>
      </w:r>
      <w:r>
        <w:rPr>
          <w:rStyle w:val="Style12"/>
          <w:rFonts w:eastAsia="Century Gothic" w:cs="Century Gothic" w:ascii="Times New Roman" w:hAnsi="Times New Roman"/>
          <w:b w:val="false"/>
          <w:bCs w:val="false"/>
          <w:color w:val="000000"/>
          <w:kern w:val="0"/>
          <w:sz w:val="28"/>
          <w:szCs w:val="28"/>
          <w:shd w:fill="auto" w:val="clear"/>
          <w:lang w:eastAsia="uk-UA"/>
        </w:rPr>
        <w:t xml:space="preserve"> МВт⋅год) та прогнозні значення у 2030 році (</w:t>
      </w:r>
      <w:r>
        <w:rPr>
          <w:rStyle w:val="Style12"/>
          <w:rFonts w:eastAsia="Century Gothic" w:cs="Century Gothic" w:ascii="Times New Roman" w:hAnsi="Times New Roman"/>
          <w:b w:val="false"/>
          <w:bCs w:val="false"/>
          <w:color w:val="000000"/>
          <w:kern w:val="0"/>
          <w:sz w:val="28"/>
          <w:szCs w:val="28"/>
          <w:shd w:fill="auto" w:val="clear"/>
          <w:lang w:eastAsia="uk-UA"/>
        </w:rPr>
        <w:t>2</w:t>
      </w:r>
      <w:r>
        <w:rPr>
          <w:rStyle w:val="Style12"/>
          <w:rFonts w:eastAsia="Century Gothic" w:cs="Century Gothic" w:ascii="Times New Roman" w:hAnsi="Times New Roman"/>
          <w:b w:val="false"/>
          <w:bCs w:val="false"/>
          <w:color w:val="000000"/>
          <w:kern w:val="0"/>
          <w:sz w:val="28"/>
          <w:szCs w:val="28"/>
          <w:shd w:fill="auto" w:val="clear"/>
          <w:lang w:eastAsia="uk-UA"/>
        </w:rPr>
        <w:t>1</w:t>
      </w:r>
      <w:r>
        <w:rPr>
          <w:rStyle w:val="Style12"/>
          <w:rFonts w:eastAsia="Century Gothic" w:cs="Century Gothic" w:ascii="Times New Roman" w:hAnsi="Times New Roman"/>
          <w:b w:val="false"/>
          <w:bCs w:val="false"/>
          <w:color w:val="000000"/>
          <w:kern w:val="0"/>
          <w:sz w:val="28"/>
          <w:szCs w:val="28"/>
          <w:shd w:fill="auto" w:val="clear"/>
          <w:lang w:eastAsia="uk-UA"/>
        </w:rPr>
        <w:t> </w:t>
      </w:r>
      <w:r>
        <w:rPr>
          <w:rStyle w:val="Style12"/>
          <w:rFonts w:eastAsia="Century Gothic" w:cs="Century Gothic" w:ascii="Times New Roman" w:hAnsi="Times New Roman"/>
          <w:b w:val="false"/>
          <w:bCs w:val="false"/>
          <w:color w:val="000000"/>
          <w:kern w:val="0"/>
          <w:sz w:val="28"/>
          <w:szCs w:val="28"/>
          <w:shd w:fill="auto" w:val="clear"/>
          <w:lang w:eastAsia="uk-UA"/>
        </w:rPr>
        <w:t>610</w:t>
      </w:r>
      <w:r>
        <w:rPr>
          <w:rStyle w:val="Style12"/>
          <w:rFonts w:eastAsia="Century Gothic" w:cs="Century Gothic" w:ascii="Times New Roman" w:hAnsi="Times New Roman"/>
          <w:b w:val="false"/>
          <w:bCs w:val="false"/>
          <w:color w:val="000000"/>
          <w:kern w:val="0"/>
          <w:sz w:val="28"/>
          <w:szCs w:val="28"/>
          <w:shd w:fill="auto" w:val="clear"/>
          <w:lang w:eastAsia="uk-UA"/>
        </w:rPr>
        <w:t xml:space="preserve"> МВт⋅год) показує, що незважаючи на зміну чисельності населення та корегування щодо градусо-днів енергоспоживання буде на рівні довоєнному та до ковідному.  Загалом лінія тренду матиме незначне падіння до 2030 року.</w:t>
      </w:r>
    </w:p>
    <w:p>
      <w:pPr>
        <w:pStyle w:val="Normal"/>
        <w:ind w:firstLine="567"/>
        <w:jc w:val="center"/>
        <w:rPr>
          <w:rFonts w:ascii="Times New Roman" w:hAnsi="Times New Roman"/>
          <w:sz w:val="26"/>
          <w:szCs w:val="26"/>
        </w:rPr>
      </w:pPr>
      <w:r>
        <w:rPr/>
      </w:r>
    </w:p>
    <w:p>
      <w:pPr>
        <w:pStyle w:val="Normal"/>
        <w:ind w:firstLine="567"/>
        <w:jc w:val="center"/>
        <w:rPr>
          <w:rFonts w:ascii="Times New Roman" w:hAnsi="Times New Roman"/>
          <w:sz w:val="26"/>
          <w:szCs w:val="26"/>
        </w:rPr>
      </w:pPr>
      <w:r>
        <w:rPr>
          <w:rStyle w:val="Style12"/>
          <w:rFonts w:eastAsia="Century Gothic" w:cs="Century Gothic" w:ascii="Times New Roman" w:hAnsi="Times New Roman"/>
          <w:b/>
          <w:bCs/>
          <w:color w:val="000000"/>
          <w:kern w:val="0"/>
          <w:sz w:val="28"/>
          <w:szCs w:val="28"/>
          <w:lang w:eastAsia="uk-UA"/>
        </w:rPr>
        <w:t>3</w:t>
      </w:r>
      <w:r>
        <w:rPr>
          <w:rStyle w:val="Style12"/>
          <w:rFonts w:eastAsia="Century Gothic" w:cs="Century Gothic" w:ascii="Times New Roman" w:hAnsi="Times New Roman"/>
          <w:b/>
          <w:bCs/>
          <w:color w:val="000000"/>
          <w:kern w:val="0"/>
          <w:sz w:val="28"/>
          <w:szCs w:val="28"/>
          <w:lang w:eastAsia="uk-UA"/>
        </w:rPr>
        <w:t>.</w:t>
      </w:r>
      <w:r>
        <w:rPr>
          <w:rStyle w:val="Style12"/>
          <w:rFonts w:eastAsia="Century Gothic" w:cs="Century Gothic" w:ascii="Times New Roman" w:hAnsi="Times New Roman"/>
          <w:b/>
          <w:bCs/>
          <w:color w:val="000000"/>
          <w:kern w:val="0"/>
          <w:sz w:val="28"/>
          <w:szCs w:val="28"/>
          <w:lang w:eastAsia="uk-UA"/>
        </w:rPr>
        <w:t>2</w:t>
      </w:r>
      <w:r>
        <w:rPr>
          <w:rStyle w:val="Style12"/>
          <w:rFonts w:eastAsia="Century Gothic" w:cs="Century Gothic" w:ascii="Times New Roman" w:hAnsi="Times New Roman"/>
          <w:b/>
          <w:bCs/>
          <w:color w:val="000000"/>
          <w:kern w:val="0"/>
          <w:sz w:val="28"/>
          <w:szCs w:val="28"/>
          <w:lang w:eastAsia="uk-UA"/>
        </w:rPr>
        <w:t>. Цілі та стратегії до 2030 року</w:t>
      </w:r>
    </w:p>
    <w:p>
      <w:pPr>
        <w:pStyle w:val="Normal"/>
        <w:ind w:firstLine="567"/>
        <w:jc w:val="center"/>
        <w:rPr>
          <w:rFonts w:ascii="Times New Roman" w:hAnsi="Times New Roman"/>
          <w:sz w:val="26"/>
          <w:szCs w:val="26"/>
        </w:rPr>
      </w:pPr>
      <w:r>
        <w:rPr/>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Покровською міською територіальною громадою визначено дві основні Стратегічні цілі сталого енергетичного розвитку території:</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 Підвищення енергетичної ефективності: зниження кінцевого споживання енергії у 2030 році відносно базової лінії енергоспоживання на території територіальної громади та передбачає:</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1.1. Зменшення споживання енергоресурсів.</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1.2. Зменшення витрат на оплату енергоресурсів.</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1.3.  Залучення інвестицій у сферу енергоефективності.</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1.4. Підвищення обізнаності мешканців громади щодо енергоефективності.</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 Розвиток відновлюваних джерел енергії: збільшення частки ВДЕ в кінцевому споживанні енергії на території територіальної громади у 2030 році та передбачає:</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2.1 Підвищення енергетичної безпеки громади.</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2.2 Збільшення використання «зеленої енергетики».</w:t>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2.3 Заміщення традиційних джерел енергії на відновлювальні.</w:t>
      </w:r>
    </w:p>
    <w:p>
      <w:pPr>
        <w:pStyle w:val="Normal"/>
        <w:spacing w:before="0" w:after="0"/>
        <w:ind w:firstLine="567"/>
        <w:jc w:val="both"/>
        <w:rPr>
          <w:rFonts w:ascii="Times New Roman" w:hAnsi="Times New Roman"/>
          <w:sz w:val="26"/>
          <w:szCs w:val="26"/>
        </w:rPr>
      </w:pPr>
      <w:r>
        <w:rPr>
          <w:rStyle w:val="Style12"/>
          <w:rFonts w:eastAsia="Century Gothic" w:cs="Century Gothic" w:ascii="Times New Roman" w:hAnsi="Times New Roman"/>
          <w:b w:val="false"/>
          <w:bCs w:val="false"/>
          <w:color w:val="000000"/>
          <w:kern w:val="0"/>
          <w:sz w:val="28"/>
          <w:szCs w:val="28"/>
          <w:lang w:eastAsia="uk-UA"/>
        </w:rPr>
        <w:t>2.4 Залучення інвестицій у проекти з відновлюваної енергетики.</w:t>
      </w:r>
    </w:p>
    <w:p>
      <w:pPr>
        <w:pStyle w:val="Normal"/>
        <w:ind w:firstLine="567"/>
        <w:jc w:val="both"/>
        <w:rPr>
          <w:rFonts w:ascii="Times New Roman" w:hAnsi="Times New Roman"/>
          <w:sz w:val="26"/>
          <w:szCs w:val="26"/>
        </w:rPr>
      </w:pPr>
      <w:r>
        <w:rPr>
          <w:rFonts w:ascii="Times New Roman" w:hAnsi="Times New Roman"/>
          <w:b/>
          <w:bCs/>
          <w:sz w:val="28"/>
          <w:szCs w:val="28"/>
        </w:rPr>
      </w:r>
    </w:p>
    <w:p>
      <w:pPr>
        <w:pStyle w:val="Normal"/>
        <w:pBdr/>
        <w:spacing w:lineRule="auto" w:line="240" w:before="0" w:after="0"/>
        <w:ind w:firstLine="567"/>
        <w:jc w:val="center"/>
        <w:rPr>
          <w:color w:val="000000"/>
          <w:shd w:fill="FFFFFF" w:val="clear"/>
          <w:lang w:val="uk-UA"/>
        </w:rPr>
      </w:pPr>
      <w:r>
        <w:rPr>
          <w:rFonts w:eastAsia="Times New Roman" w:cs="Times New Roman" w:ascii="Times New Roman" w:hAnsi="Times New Roman"/>
          <w:b/>
          <w:bCs/>
          <w:color w:val="000000"/>
          <w:sz w:val="28"/>
          <w:szCs w:val="28"/>
          <w:shd w:fill="FFFFFF" w:val="clear"/>
          <w:lang w:val="uk-UA"/>
        </w:rPr>
        <w:t>Цілі сталого енергети</w:t>
      </w:r>
      <w:r>
        <w:rPr>
          <w:rFonts w:eastAsia="Times New Roman" w:cs="Times New Roman" w:ascii="Times New Roman" w:hAnsi="Times New Roman"/>
          <w:b/>
          <w:bCs/>
          <w:color w:val="000000"/>
          <w:sz w:val="28"/>
          <w:szCs w:val="28"/>
          <w:shd w:fill="auto" w:val="clear"/>
          <w:lang w:val="uk-UA"/>
        </w:rPr>
        <w:t xml:space="preserve">чного розвитку </w:t>
      </w:r>
      <w:r>
        <w:rPr>
          <w:rFonts w:eastAsia="Times New Roman" w:cs="Times New Roman" w:ascii="Times New Roman" w:hAnsi="Times New Roman"/>
          <w:b/>
          <w:bCs/>
          <w:color w:val="000000"/>
          <w:sz w:val="28"/>
          <w:szCs w:val="28"/>
          <w:shd w:fill="auto" w:val="clear"/>
          <w:lang w:val="uk-UA"/>
        </w:rPr>
        <w:t>Покровської</w:t>
      </w:r>
      <w:r>
        <w:rPr>
          <w:rFonts w:eastAsia="Times New Roman" w:cs="Times New Roman" w:ascii="Times New Roman" w:hAnsi="Times New Roman"/>
          <w:b/>
          <w:bCs/>
          <w:color w:val="000000"/>
          <w:sz w:val="28"/>
          <w:szCs w:val="28"/>
          <w:shd w:fill="auto" w:val="clear"/>
          <w:lang w:val="uk-UA"/>
        </w:rPr>
        <w:t xml:space="preserve"> МТГ до 2030 року</w:t>
      </w:r>
    </w:p>
    <w:p>
      <w:pPr>
        <w:pStyle w:val="Normal"/>
        <w:pBdr/>
        <w:spacing w:before="0" w:after="0"/>
        <w:ind w:firstLine="567"/>
        <w:jc w:val="center"/>
        <w:rPr>
          <w:color w:val="000000"/>
          <w:sz w:val="20"/>
          <w:szCs w:val="20"/>
          <w:shd w:fill="FFFFFF" w:val="clear"/>
          <w:lang w:val="uk-UA"/>
        </w:rPr>
      </w:pPr>
      <w:r>
        <w:rPr>
          <w:rFonts w:eastAsia="Times New Roman" w:cs="Times New Roman" w:ascii="Times New Roman" w:hAnsi="Times New Roman"/>
          <w:color w:val="000000"/>
          <w:sz w:val="20"/>
          <w:szCs w:val="20"/>
          <w:shd w:fill="auto" w:val="clear"/>
          <w:lang w:val="uk-UA"/>
        </w:rPr>
      </w:r>
    </w:p>
    <w:tbl>
      <w:tblPr>
        <w:tblW w:w="9789" w:type="dxa"/>
        <w:jc w:val="start"/>
        <w:tblInd w:w="-33" w:type="dxa"/>
        <w:tblLayout w:type="fixed"/>
        <w:tblCellMar>
          <w:top w:w="55" w:type="dxa"/>
          <w:start w:w="115" w:type="dxa"/>
          <w:bottom w:w="55" w:type="dxa"/>
          <w:end w:w="115" w:type="dxa"/>
        </w:tblCellMar>
      </w:tblPr>
      <w:tblGrid>
        <w:gridCol w:w="4990"/>
        <w:gridCol w:w="4799"/>
      </w:tblGrid>
      <w:tr>
        <w:trPr/>
        <w:tc>
          <w:tcPr>
            <w:tcW w:w="4990" w:type="dxa"/>
            <w:tcBorders>
              <w:top w:val="single" w:sz="4" w:space="0" w:color="000000"/>
              <w:start w:val="single" w:sz="4" w:space="0" w:color="000000"/>
              <w:bottom w:val="single" w:sz="4" w:space="0" w:color="000000"/>
            </w:tcBorders>
          </w:tcPr>
          <w:p>
            <w:pPr>
              <w:pStyle w:val="Normal"/>
              <w:widowControl w:val="fals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lang w:val="uk-UA" w:eastAsia="uk-UA" w:bidi="ar-SA"/>
              </w:rPr>
              <w:t>Конкретні цілі</w:t>
            </w:r>
          </w:p>
        </w:tc>
        <w:tc>
          <w:tcPr>
            <w:tcW w:w="479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jc w:val="center"/>
              <w:rPr>
                <w:shd w:fill="D9D9D9" w:val="clear"/>
                <w:lang w:val="uk-UA"/>
              </w:rPr>
            </w:pPr>
            <w:r>
              <w:rPr>
                <w:rFonts w:eastAsia="Times New Roman" w:cs="Times New Roman" w:ascii="Times New Roman" w:hAnsi="Times New Roman"/>
                <w:kern w:val="0"/>
                <w:sz w:val="28"/>
                <w:szCs w:val="28"/>
                <w:lang w:val="uk-UA" w:eastAsia="uk-UA" w:bidi="ar-SA"/>
              </w:rPr>
              <w:t>Кількісні показники</w:t>
            </w:r>
          </w:p>
        </w:tc>
      </w:tr>
      <w:tr>
        <w:trPr/>
        <w:tc>
          <w:tcPr>
            <w:tcW w:w="4990" w:type="dxa"/>
            <w:tcBorders>
              <w:start w:val="single" w:sz="4" w:space="0" w:color="000000"/>
              <w:bottom w:val="single" w:sz="4" w:space="0" w:color="000000"/>
            </w:tcBorders>
            <w:vAlign w:val="center"/>
          </w:tcPr>
          <w:p>
            <w:pPr>
              <w:pStyle w:val="Normal"/>
              <w:widowControl w:val="false"/>
              <w:spacing w:lineRule="auto" w:line="240"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lang w:val="uk-UA" w:eastAsia="uk-UA" w:bidi="ar-SA"/>
              </w:rPr>
              <w:t>Скорочення енергоспоживання внаслідок підвищення енергоефективності</w:t>
            </w:r>
          </w:p>
        </w:tc>
        <w:tc>
          <w:tcPr>
            <w:tcW w:w="4799" w:type="dxa"/>
            <w:tcBorders>
              <w:start w:val="single" w:sz="4" w:space="0" w:color="000000"/>
              <w:bottom w:val="single" w:sz="4" w:space="0" w:color="000000"/>
              <w:end w:val="single" w:sz="4" w:space="0" w:color="000000"/>
            </w:tcBorders>
            <w:vAlign w:val="center"/>
          </w:tcPr>
          <w:p>
            <w:pPr>
              <w:pStyle w:val="Normal"/>
              <w:widowControl w:val="false"/>
              <w:spacing w:lineRule="auto" w:line="276" w:before="0" w:after="0"/>
              <w:jc w:val="center"/>
              <w:rPr>
                <w:lang w:val="uk-UA"/>
              </w:rPr>
            </w:pPr>
            <w:r>
              <w:rPr>
                <w:rFonts w:eastAsia="Times New Roman" w:cs="Times New Roman" w:ascii="Times New Roman" w:hAnsi="Times New Roman"/>
                <w:strike w:val="false"/>
                <w:dstrike w:val="false"/>
                <w:kern w:val="0"/>
                <w:sz w:val="28"/>
                <w:szCs w:val="28"/>
                <w:shd w:fill="auto" w:val="clear"/>
                <w:lang w:val="uk-UA" w:eastAsia="uk-UA" w:bidi="ar-SA"/>
              </w:rPr>
              <w:t>1</w:t>
            </w:r>
            <w:r>
              <w:rPr>
                <w:rFonts w:eastAsia="Times New Roman" w:cs="Times New Roman" w:ascii="Times New Roman" w:hAnsi="Times New Roman"/>
                <w:strike w:val="false"/>
                <w:dstrike w:val="false"/>
                <w:kern w:val="0"/>
                <w:sz w:val="28"/>
                <w:szCs w:val="28"/>
                <w:shd w:fill="auto" w:val="clear"/>
                <w:lang w:val="uk-UA" w:eastAsia="uk-UA" w:bidi="ar-SA"/>
              </w:rPr>
              <w:t>7</w:t>
            </w:r>
            <w:r>
              <w:rPr>
                <w:rFonts w:eastAsia="Times New Roman" w:cs="Times New Roman" w:ascii="Times New Roman" w:hAnsi="Times New Roman"/>
                <w:strike w:val="false"/>
                <w:dstrike w:val="false"/>
                <w:kern w:val="0"/>
                <w:sz w:val="28"/>
                <w:szCs w:val="28"/>
                <w:shd w:fill="auto" w:val="clear"/>
                <w:lang w:val="uk-UA" w:eastAsia="uk-UA" w:bidi="ar-SA"/>
              </w:rPr>
              <w:t xml:space="preserve">,1 % або </w:t>
            </w:r>
            <w:r>
              <w:rPr>
                <w:rFonts w:eastAsia="Times New Roman" w:cs="Times New Roman" w:ascii="Times New Roman" w:hAnsi="Times New Roman"/>
                <w:strike w:val="false"/>
                <w:dstrike w:val="false"/>
                <w:kern w:val="0"/>
                <w:sz w:val="28"/>
                <w:szCs w:val="28"/>
                <w:shd w:fill="auto" w:val="clear"/>
                <w:lang w:val="uk-UA" w:eastAsia="uk-UA" w:bidi="ar-SA"/>
              </w:rPr>
              <w:t>4457</w:t>
            </w:r>
            <w:r>
              <w:rPr>
                <w:rFonts w:eastAsia="Times New Roman" w:cs="Times New Roman" w:ascii="Times New Roman" w:hAnsi="Times New Roman"/>
                <w:strike w:val="false"/>
                <w:dstrike w:val="false"/>
                <w:kern w:val="0"/>
                <w:sz w:val="28"/>
                <w:szCs w:val="28"/>
                <w:shd w:fill="auto" w:val="clear"/>
                <w:lang w:val="uk-UA" w:eastAsia="uk-UA" w:bidi="ar-SA"/>
              </w:rPr>
              <w:t>,</w:t>
            </w:r>
            <w:r>
              <w:rPr>
                <w:rFonts w:eastAsia="Times New Roman" w:cs="Times New Roman" w:ascii="Times New Roman" w:hAnsi="Times New Roman"/>
                <w:strike w:val="false"/>
                <w:dstrike w:val="false"/>
                <w:kern w:val="0"/>
                <w:sz w:val="28"/>
                <w:szCs w:val="28"/>
                <w:shd w:fill="auto" w:val="clear"/>
                <w:lang w:val="uk-UA" w:eastAsia="uk-UA" w:bidi="ar-SA"/>
              </w:rPr>
              <w:t>5</w:t>
            </w:r>
            <w:r>
              <w:rPr>
                <w:rFonts w:eastAsia="Times New Roman" w:cs="Times New Roman" w:ascii="Times New Roman" w:hAnsi="Times New Roman"/>
                <w:strike w:val="false"/>
                <w:dstrike w:val="false"/>
                <w:color w:val="000000"/>
                <w:kern w:val="0"/>
                <w:sz w:val="28"/>
                <w:szCs w:val="28"/>
                <w:shd w:fill="auto" w:val="clear"/>
                <w:lang w:val="uk-UA" w:eastAsia="uk-UA" w:bidi="ar-SA"/>
              </w:rPr>
              <w:t>МВт</w:t>
            </w:r>
            <w:r>
              <w:rPr>
                <w:rFonts w:eastAsia="Cambria Math" w:cs="Cambria Math" w:ascii="Times New Roman" w:hAnsi="Times New Roman"/>
                <w:strike w:val="false"/>
                <w:dstrike w:val="false"/>
                <w:color w:val="000000"/>
                <w:kern w:val="0"/>
                <w:sz w:val="28"/>
                <w:szCs w:val="28"/>
                <w:shd w:fill="auto" w:val="clear"/>
                <w:lang w:val="uk-UA" w:eastAsia="uk-UA" w:bidi="ar-SA"/>
              </w:rPr>
              <w:t>⋅</w:t>
            </w:r>
            <w:r>
              <w:rPr>
                <w:rFonts w:eastAsia="Times New Roman" w:cs="Times New Roman" w:ascii="Times New Roman" w:hAnsi="Times New Roman"/>
                <w:strike w:val="false"/>
                <w:dstrike w:val="false"/>
                <w:color w:val="000000"/>
                <w:kern w:val="0"/>
                <w:sz w:val="28"/>
                <w:szCs w:val="28"/>
                <w:shd w:fill="auto" w:val="clear"/>
                <w:lang w:val="uk-UA" w:eastAsia="uk-UA" w:bidi="ar-SA"/>
              </w:rPr>
              <w:t>год /рік</w:t>
            </w:r>
          </w:p>
        </w:tc>
      </w:tr>
      <w:tr>
        <w:trPr/>
        <w:tc>
          <w:tcPr>
            <w:tcW w:w="4990" w:type="dxa"/>
            <w:tcBorders>
              <w:start w:val="single" w:sz="4" w:space="0" w:color="000000"/>
              <w:bottom w:val="single" w:sz="4" w:space="0" w:color="000000"/>
            </w:tcBorders>
            <w:vAlign w:val="center"/>
          </w:tcPr>
          <w:p>
            <w:pPr>
              <w:pStyle w:val="Normal"/>
              <w:widowControl w:val="false"/>
              <w:spacing w:lineRule="auto" w:line="240"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lang w:val="uk-UA" w:eastAsia="uk-UA" w:bidi="ar-SA"/>
              </w:rPr>
              <w:t>Частка відновлюваних джерел енергії у фінальному споживанні енергії станом на 2030 рік</w:t>
            </w:r>
          </w:p>
        </w:tc>
        <w:tc>
          <w:tcPr>
            <w:tcW w:w="4799" w:type="dxa"/>
            <w:tcBorders>
              <w:start w:val="single" w:sz="4" w:space="0" w:color="000000"/>
              <w:bottom w:val="single" w:sz="4" w:space="0" w:color="000000"/>
              <w:end w:val="single" w:sz="4" w:space="0" w:color="000000"/>
            </w:tcBorders>
            <w:vAlign w:val="center"/>
          </w:tcPr>
          <w:p>
            <w:pPr>
              <w:pStyle w:val="Normal"/>
              <w:widowControl w:val="false"/>
              <w:spacing w:lineRule="auto" w:line="276" w:before="0" w:after="0"/>
              <w:jc w:val="center"/>
              <w:rPr>
                <w:lang w:val="uk-UA"/>
              </w:rPr>
            </w:pPr>
            <w:r>
              <w:rPr>
                <w:rFonts w:eastAsia="Times New Roman" w:cs="Times New Roman" w:ascii="Times New Roman" w:hAnsi="Times New Roman"/>
                <w:strike w:val="false"/>
                <w:dstrike w:val="false"/>
                <w:kern w:val="0"/>
                <w:sz w:val="28"/>
                <w:szCs w:val="28"/>
                <w:shd w:fill="auto" w:val="clear"/>
                <w:lang w:val="uk-UA" w:eastAsia="uk-UA" w:bidi="ar-SA"/>
              </w:rPr>
              <w:t>2</w:t>
            </w:r>
            <w:r>
              <w:rPr>
                <w:rFonts w:eastAsia="Times New Roman" w:cs="Times New Roman" w:ascii="Times New Roman" w:hAnsi="Times New Roman"/>
                <w:strike w:val="false"/>
                <w:dstrike w:val="false"/>
                <w:kern w:val="0"/>
                <w:sz w:val="28"/>
                <w:szCs w:val="28"/>
                <w:shd w:fill="auto" w:val="clear"/>
                <w:lang w:val="uk-UA" w:eastAsia="uk-UA" w:bidi="ar-SA"/>
              </w:rPr>
              <w:t>5</w:t>
            </w:r>
            <w:r>
              <w:rPr>
                <w:rFonts w:eastAsia="Times New Roman" w:cs="Times New Roman" w:ascii="Times New Roman" w:hAnsi="Times New Roman"/>
                <w:strike w:val="false"/>
                <w:dstrike w:val="false"/>
                <w:kern w:val="0"/>
                <w:sz w:val="28"/>
                <w:szCs w:val="28"/>
                <w:shd w:fill="auto" w:val="clear"/>
                <w:lang w:val="uk-UA" w:eastAsia="uk-UA" w:bidi="ar-SA"/>
              </w:rPr>
              <w:t xml:space="preserve">,7 % або </w:t>
            </w:r>
            <w:r>
              <w:rPr>
                <w:rFonts w:eastAsia="Times New Roman" w:cs="Times New Roman" w:ascii="Times New Roman" w:hAnsi="Times New Roman"/>
                <w:strike w:val="false"/>
                <w:dstrike w:val="false"/>
                <w:kern w:val="0"/>
                <w:sz w:val="28"/>
                <w:szCs w:val="28"/>
                <w:shd w:fill="auto" w:val="clear"/>
                <w:lang w:val="uk-UA" w:eastAsia="uk-UA" w:bidi="ar-SA"/>
              </w:rPr>
              <w:t>5553</w:t>
            </w:r>
            <w:r>
              <w:rPr>
                <w:rFonts w:eastAsia="Times New Roman" w:cs="Times New Roman" w:ascii="Times New Roman" w:hAnsi="Times New Roman"/>
                <w:strike w:val="false"/>
                <w:dstrike w:val="false"/>
                <w:kern w:val="0"/>
                <w:sz w:val="28"/>
                <w:szCs w:val="28"/>
                <w:shd w:fill="auto" w:val="clear"/>
                <w:lang w:val="uk-UA" w:eastAsia="uk-UA" w:bidi="ar-SA"/>
              </w:rPr>
              <w:t>,</w:t>
            </w:r>
            <w:r>
              <w:rPr>
                <w:rFonts w:eastAsia="Times New Roman" w:cs="Times New Roman" w:ascii="Times New Roman" w:hAnsi="Times New Roman"/>
                <w:strike w:val="false"/>
                <w:dstrike w:val="false"/>
                <w:kern w:val="0"/>
                <w:sz w:val="28"/>
                <w:szCs w:val="28"/>
                <w:shd w:fill="auto" w:val="clear"/>
                <w:lang w:val="uk-UA" w:eastAsia="uk-UA" w:bidi="ar-SA"/>
              </w:rPr>
              <w:t>6</w:t>
            </w:r>
            <w:r>
              <w:rPr>
                <w:rFonts w:eastAsia="Times New Roman" w:cs="Times New Roman" w:ascii="Times New Roman" w:hAnsi="Times New Roman"/>
                <w:strike w:val="false"/>
                <w:dstrike w:val="false"/>
                <w:kern w:val="0"/>
                <w:sz w:val="28"/>
                <w:szCs w:val="28"/>
                <w:shd w:fill="auto" w:val="clear"/>
                <w:lang w:val="uk-UA" w:eastAsia="uk-UA" w:bidi="ar-SA"/>
              </w:rPr>
              <w:t xml:space="preserve"> </w:t>
            </w:r>
            <w:r>
              <w:rPr>
                <w:rFonts w:eastAsia="Times New Roman" w:cs="Times New Roman" w:ascii="Times New Roman" w:hAnsi="Times New Roman"/>
                <w:strike w:val="false"/>
                <w:dstrike w:val="false"/>
                <w:color w:val="000000"/>
                <w:kern w:val="0"/>
                <w:sz w:val="28"/>
                <w:szCs w:val="28"/>
                <w:shd w:fill="auto" w:val="clear"/>
                <w:lang w:val="uk-UA" w:eastAsia="uk-UA" w:bidi="ar-SA"/>
              </w:rPr>
              <w:t>МВт</w:t>
            </w:r>
            <w:r>
              <w:rPr>
                <w:rFonts w:eastAsia="Cambria Math" w:cs="Cambria Math" w:ascii="Times New Roman" w:hAnsi="Times New Roman"/>
                <w:strike w:val="false"/>
                <w:dstrike w:val="false"/>
                <w:color w:val="000000"/>
                <w:kern w:val="0"/>
                <w:sz w:val="28"/>
                <w:szCs w:val="28"/>
                <w:shd w:fill="auto" w:val="clear"/>
                <w:lang w:val="uk-UA" w:eastAsia="uk-UA" w:bidi="ar-SA"/>
              </w:rPr>
              <w:t>⋅</w:t>
            </w:r>
            <w:r>
              <w:rPr>
                <w:rFonts w:eastAsia="Times New Roman" w:cs="Times New Roman" w:ascii="Times New Roman" w:hAnsi="Times New Roman"/>
                <w:strike w:val="false"/>
                <w:dstrike w:val="false"/>
                <w:color w:val="000000"/>
                <w:kern w:val="0"/>
                <w:sz w:val="28"/>
                <w:szCs w:val="28"/>
                <w:shd w:fill="auto" w:val="clear"/>
                <w:lang w:val="uk-UA" w:eastAsia="uk-UA" w:bidi="ar-SA"/>
              </w:rPr>
              <w:t xml:space="preserve">год /рік </w:t>
            </w:r>
          </w:p>
        </w:tc>
      </w:tr>
    </w:tbl>
    <w:p>
      <w:pPr>
        <w:pStyle w:val="Normal"/>
        <w:spacing w:before="0" w:after="0"/>
        <w:jc w:val="both"/>
        <w:rPr>
          <w:rFonts w:ascii="Times New Roman" w:hAnsi="Times New Roman" w:eastAsia="Times New Roman" w:cs="Times New Roman"/>
          <w:sz w:val="20"/>
          <w:szCs w:val="24"/>
          <w:shd w:fill="FFFFFF" w:val="clear"/>
          <w:lang w:val="uk-UA"/>
        </w:rPr>
      </w:pPr>
      <w:r>
        <w:rPr>
          <w:rFonts w:eastAsia="Times New Roman" w:cs="Times New Roman"/>
          <w:sz w:val="20"/>
          <w:szCs w:val="24"/>
          <w:lang w:val="uk-UA"/>
        </w:rPr>
        <w:t>*У зв’язку з наближеністю до зони воєнних дій та обмеженими можливостями фінансування зазначені в документі цілі МЕП не відповідають цілям Національному плану дій з відновлюваної енергетики на період до 2030 року (27% частка ВДЕ у 2030 році).</w:t>
      </w:r>
    </w:p>
    <w:p>
      <w:pPr>
        <w:pStyle w:val="Normal"/>
        <w:spacing w:lineRule="auto" w:line="276" w:before="0" w:after="0"/>
        <w:jc w:val="center"/>
        <w:rPr>
          <w:rFonts w:ascii="Times New Roman" w:hAnsi="Times New Roman"/>
          <w:b/>
          <w:bCs/>
          <w:sz w:val="28"/>
          <w:szCs w:val="28"/>
        </w:rPr>
      </w:pPr>
      <w:r>
        <w:rPr>
          <w:rFonts w:ascii="Times New Roman" w:hAnsi="Times New Roman"/>
          <w:b/>
          <w:bCs/>
          <w:sz w:val="28"/>
          <w:szCs w:val="28"/>
        </w:rPr>
      </w:r>
    </w:p>
    <w:p>
      <w:pPr>
        <w:pStyle w:val="Normal"/>
        <w:spacing w:before="0" w:after="0"/>
        <w:jc w:val="center"/>
        <w:rPr>
          <w:rFonts w:ascii="Times New Roman" w:hAnsi="Times New Roman" w:eastAsia="Times New Roman" w:cs="Times New Roman"/>
          <w:sz w:val="24"/>
          <w:szCs w:val="24"/>
          <w:lang w:val="uk-UA"/>
        </w:rPr>
      </w:pPr>
      <w:r>
        <w:rPr>
          <w:rFonts w:eastAsia="Times New Roman" w:cs="Times New Roman" w:ascii="Times New Roman" w:hAnsi="Times New Roman"/>
          <w:b/>
          <w:bCs/>
          <w:sz w:val="24"/>
          <w:szCs w:val="24"/>
          <w:shd w:fill="auto" w:val="clear"/>
          <w:lang w:val="uk-UA"/>
        </w:rPr>
        <w:t xml:space="preserve">Секторальні цілі щодо підвищення енергоефективності та розвитку ВДЕ </w:t>
        <w:br/>
        <w:t>до 2030 року</w:t>
      </w:r>
    </w:p>
    <w:tbl>
      <w:tblPr>
        <w:tblW w:w="9608" w:type="dxa"/>
        <w:jc w:val="start"/>
        <w:tblInd w:w="0" w:type="dxa"/>
        <w:tblLayout w:type="fixed"/>
        <w:tblCellMar>
          <w:top w:w="0" w:type="dxa"/>
          <w:start w:w="108" w:type="dxa"/>
          <w:bottom w:w="0" w:type="dxa"/>
          <w:end w:w="108" w:type="dxa"/>
        </w:tblCellMar>
      </w:tblPr>
      <w:tblGrid>
        <w:gridCol w:w="2835"/>
        <w:gridCol w:w="1590"/>
        <w:gridCol w:w="1185"/>
        <w:gridCol w:w="1410"/>
        <w:gridCol w:w="795"/>
        <w:gridCol w:w="1020"/>
        <w:gridCol w:w="773"/>
      </w:tblGrid>
      <w:tr>
        <w:trPr>
          <w:trHeight w:val="247" w:hRule="atLeast"/>
        </w:trPr>
        <w:tc>
          <w:tcPr>
            <w:tcW w:w="283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Назва сектора</w:t>
            </w:r>
          </w:p>
        </w:tc>
        <w:tc>
          <w:tcPr>
            <w:tcW w:w="6773"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2030</w:t>
            </w:r>
          </w:p>
        </w:tc>
      </w:tr>
      <w:tr>
        <w:trPr>
          <w:trHeight w:val="842" w:hRule="atLeast"/>
        </w:trPr>
        <w:tc>
          <w:tcPr>
            <w:tcW w:w="28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pPr>
            <w:r>
              <w:rPr/>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Базове кінцеве споживання енергії</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Прогнозоване кінцеве споживання енергії</w:t>
            </w:r>
          </w:p>
        </w:tc>
        <w:tc>
          <w:tcPr>
            <w:tcW w:w="220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Підвищення енергоефективності</w:t>
            </w:r>
          </w:p>
        </w:tc>
        <w:tc>
          <w:tcPr>
            <w:tcW w:w="17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Розвиток ВДЕ</w:t>
            </w:r>
          </w:p>
        </w:tc>
      </w:tr>
      <w:tr>
        <w:trPr>
          <w:trHeight w:val="496" w:hRule="atLeast"/>
        </w:trPr>
        <w:tc>
          <w:tcPr>
            <w:tcW w:w="28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pPr>
            <w:r>
              <w:rPr/>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МВт</w:t>
            </w:r>
            <w:r>
              <w:rPr>
                <w:rFonts w:eastAsia="Times New Roman" w:cs="Cambria Math" w:ascii="Cambria Math" w:hAnsi="Cambria Math"/>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год/рік</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w:t>
            </w:r>
          </w:p>
        </w:tc>
      </w:tr>
      <w:tr>
        <w:trPr>
          <w:trHeight w:val="260" w:hRule="atLeast"/>
        </w:trPr>
        <w:tc>
          <w:tcPr>
            <w:tcW w:w="9608"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Обов'язкові сектори</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Громадські будівлі</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20510</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8250</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5</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2259</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5</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11,</w:t>
            </w:r>
            <w:r>
              <w:rPr>
                <w:rFonts w:eastAsia="Times New Roman" w:cs="Times New Roman" w:ascii="Times New Roman" w:hAnsi="Times New Roman"/>
                <w:color w:val="000000"/>
                <w:sz w:val="24"/>
                <w:szCs w:val="24"/>
                <w:shd w:fill="auto" w:val="clear"/>
                <w:lang w:val="uk-UA"/>
              </w:rPr>
              <w:t>01</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2300</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6</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1</w:t>
            </w:r>
            <w:r>
              <w:rPr>
                <w:rFonts w:cs="Times New Roman" w:ascii="Times New Roman" w:hAnsi="Times New Roman"/>
                <w:color w:val="000000"/>
                <w:sz w:val="24"/>
                <w:szCs w:val="24"/>
                <w:shd w:fill="auto" w:val="clear"/>
              </w:rPr>
              <w:t>2</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6</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Житлові будівлі</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Сфера теплопостачання</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295</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230</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65</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w:t>
            </w:r>
            <w:r>
              <w:rPr>
                <w:rFonts w:eastAsia="Times New Roman" w:cs="Times New Roman" w:ascii="Times New Roman" w:hAnsi="Times New Roman"/>
                <w:color w:val="000000"/>
                <w:sz w:val="24"/>
                <w:szCs w:val="24"/>
                <w:shd w:fill="auto" w:val="clear"/>
                <w:lang w:val="uk-UA"/>
              </w:rPr>
              <w:t>2</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33</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5</w:t>
            </w:r>
            <w:r>
              <w:rPr>
                <w:rFonts w:cs="Times New Roman" w:ascii="Times New Roman" w:hAnsi="Times New Roman"/>
                <w:color w:val="000000"/>
                <w:sz w:val="24"/>
                <w:szCs w:val="24"/>
                <w:shd w:fill="auto" w:val="clear"/>
              </w:rPr>
              <w:t>7</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8</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Сфера водопостачання і водовідведення</w:t>
            </w:r>
          </w:p>
        </w:tc>
        <w:tc>
          <w:tcPr>
            <w:tcW w:w="1590"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3381</w:t>
            </w:r>
          </w:p>
        </w:tc>
        <w:tc>
          <w:tcPr>
            <w:tcW w:w="118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2222</w:t>
            </w:r>
          </w:p>
        </w:tc>
        <w:tc>
          <w:tcPr>
            <w:tcW w:w="1410"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1159</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3</w:t>
            </w:r>
            <w:r>
              <w:rPr>
                <w:rFonts w:eastAsia="Times New Roman" w:cs="Times New Roman" w:ascii="Times New Roman" w:hAnsi="Times New Roman"/>
                <w:color w:val="000000"/>
                <w:sz w:val="24"/>
                <w:szCs w:val="24"/>
                <w:shd w:fill="auto" w:val="clear"/>
                <w:lang w:val="uk-UA"/>
              </w:rPr>
              <w:t>4,</w:t>
            </w:r>
            <w:r>
              <w:rPr>
                <w:rFonts w:eastAsia="Times New Roman" w:cs="Times New Roman" w:ascii="Times New Roman" w:hAnsi="Times New Roman"/>
                <w:color w:val="000000"/>
                <w:sz w:val="24"/>
                <w:szCs w:val="24"/>
                <w:shd w:fill="auto" w:val="clear"/>
                <w:lang w:val="uk-UA"/>
              </w:rPr>
              <w:t>3</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2500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100,0</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Сфера управління побутовими відходами</w:t>
            </w:r>
          </w:p>
        </w:tc>
        <w:tc>
          <w:tcPr>
            <w:tcW w:w="1590"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504</w:t>
            </w:r>
          </w:p>
        </w:tc>
        <w:tc>
          <w:tcPr>
            <w:tcW w:w="118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434</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70</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4</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210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48</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3</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Зовнішнє освітлення</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1377</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473</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904</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6</w:t>
            </w:r>
            <w:r>
              <w:rPr>
                <w:rFonts w:eastAsia="Times New Roman" w:cs="Times New Roman" w:ascii="Times New Roman" w:hAnsi="Times New Roman"/>
                <w:color w:val="000000"/>
                <w:sz w:val="24"/>
                <w:szCs w:val="24"/>
                <w:shd w:fill="auto" w:val="clear"/>
                <w:lang w:val="uk-UA"/>
              </w:rPr>
              <w:t>5,6</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410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8</w:t>
            </w:r>
            <w:r>
              <w:rPr>
                <w:rFonts w:cs="Times New Roman" w:ascii="Times New Roman" w:hAnsi="Times New Roman"/>
                <w:color w:val="000000"/>
                <w:sz w:val="24"/>
                <w:szCs w:val="24"/>
                <w:shd w:fill="auto" w:val="clear"/>
              </w:rPr>
              <w:t>6</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7</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Громадський транспорт</w:t>
            </w:r>
          </w:p>
        </w:tc>
        <w:tc>
          <w:tcPr>
            <w:tcW w:w="159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0,0</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0,0</w:t>
            </w:r>
          </w:p>
        </w:tc>
      </w:tr>
      <w:tr>
        <w:trPr>
          <w:trHeight w:val="260" w:hRule="atLeast"/>
        </w:trPr>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Всього (обов'язкові сектори)</w:t>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26067</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21609</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5</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4457,5</w:t>
            </w:r>
          </w:p>
        </w:tc>
        <w:tc>
          <w:tcPr>
            <w:tcW w:w="7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1</w:t>
            </w:r>
            <w:r>
              <w:rPr>
                <w:rFonts w:eastAsia="Times New Roman" w:cs="Times New Roman" w:ascii="Times New Roman" w:hAnsi="Times New Roman"/>
                <w:color w:val="000000"/>
                <w:sz w:val="24"/>
                <w:szCs w:val="24"/>
                <w:shd w:fill="auto" w:val="clear"/>
                <w:lang w:val="uk-UA"/>
              </w:rPr>
              <w:t>7</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1</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sz w:val="24"/>
                <w:szCs w:val="24"/>
                <w:shd w:fill="auto" w:val="clear"/>
                <w:lang w:val="uk-UA"/>
              </w:rPr>
              <w:t>5553</w:t>
            </w:r>
            <w:r>
              <w:rPr>
                <w:rFonts w:eastAsia="Times New Roman" w:cs="Times New Roman" w:ascii="Times New Roman" w:hAnsi="Times New Roman"/>
                <w:color w:val="000000"/>
                <w:sz w:val="24"/>
                <w:szCs w:val="24"/>
                <w:shd w:fill="auto" w:val="clear"/>
                <w:lang w:val="uk-UA"/>
              </w:rPr>
              <w:t>,</w:t>
            </w:r>
            <w:r>
              <w:rPr>
                <w:rFonts w:eastAsia="Times New Roman" w:cs="Times New Roman" w:ascii="Times New Roman" w:hAnsi="Times New Roman"/>
                <w:color w:val="000000"/>
                <w:sz w:val="24"/>
                <w:szCs w:val="24"/>
                <w:shd w:fill="auto" w:val="clear"/>
                <w:lang w:val="uk-UA"/>
              </w:rPr>
              <w:t>6</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0"/>
                <w:szCs w:val="20"/>
                <w:lang w:val="uk-UA"/>
              </w:rPr>
            </w:pPr>
            <w:r>
              <w:rPr>
                <w:rFonts w:cs="Times New Roman" w:ascii="Times New Roman" w:hAnsi="Times New Roman"/>
                <w:color w:val="000000"/>
                <w:sz w:val="24"/>
                <w:szCs w:val="24"/>
                <w:shd w:fill="auto" w:val="clear"/>
              </w:rPr>
              <w:t>2</w:t>
            </w:r>
            <w:r>
              <w:rPr>
                <w:rFonts w:cs="Times New Roman" w:ascii="Times New Roman" w:hAnsi="Times New Roman"/>
                <w:color w:val="000000"/>
                <w:sz w:val="24"/>
                <w:szCs w:val="24"/>
                <w:shd w:fill="auto" w:val="clear"/>
              </w:rPr>
              <w:t>5</w:t>
            </w:r>
            <w:r>
              <w:rPr>
                <w:rFonts w:cs="Times New Roman" w:ascii="Times New Roman" w:hAnsi="Times New Roman"/>
                <w:color w:val="000000"/>
                <w:sz w:val="24"/>
                <w:szCs w:val="24"/>
                <w:shd w:fill="auto" w:val="clear"/>
              </w:rPr>
              <w:t>,</w:t>
            </w:r>
            <w:r>
              <w:rPr>
                <w:rFonts w:cs="Times New Roman" w:ascii="Times New Roman" w:hAnsi="Times New Roman"/>
                <w:color w:val="000000"/>
                <w:sz w:val="24"/>
                <w:szCs w:val="24"/>
                <w:shd w:fill="auto" w:val="clear"/>
              </w:rPr>
              <w:t>7</w:t>
            </w:r>
          </w:p>
        </w:tc>
      </w:tr>
    </w:tbl>
    <w:p>
      <w:pPr>
        <w:pStyle w:val="Normal"/>
        <w:tabs>
          <w:tab w:val="clear" w:pos="709"/>
          <w:tab w:val="left" w:pos="8265" w:leader="none"/>
          <w:tab w:val="right" w:pos="9638" w:leader="none"/>
        </w:tabs>
        <w:spacing w:lineRule="auto" w:line="240" w:before="0" w:after="0"/>
        <w:jc w:val="both"/>
        <w:rPr>
          <w:rFonts w:ascii="Times New Roman" w:hAnsi="Times New Roman" w:eastAsia="Times New Roman" w:cs="Times New Roman"/>
          <w:color w:val="000000"/>
          <w:szCs w:val="24"/>
          <w:shd w:fill="FFFFFF" w:val="clear"/>
          <w:lang w:val="uk-UA"/>
        </w:rPr>
      </w:pPr>
      <w:r>
        <w:rPr>
          <w:rFonts w:eastAsia="Times New Roman" w:cs="Times New Roman"/>
          <w:szCs w:val="24"/>
          <w:shd w:fill="auto" w:val="clear"/>
          <w:lang w:val="uk-UA"/>
        </w:rPr>
        <w:t>*</w:t>
      </w:r>
      <w:r>
        <w:rPr>
          <w:rFonts w:cs="Times New Roman"/>
          <w:sz w:val="20"/>
          <w:shd w:fill="auto" w:val="clear"/>
        </w:rPr>
        <w:t>У стовпці "Розвиток ВДЕ, %" вказаний відсоток щодо збільшення частки ВДЕ у кінцевому споживанні енергоресурсів за рахунок впровадження заходів МЕП</w:t>
      </w:r>
      <w:r>
        <w:rPr>
          <w:rFonts w:cs="Times New Roman"/>
          <w:sz w:val="20"/>
          <w:shd w:fill="auto" w:val="clear"/>
          <w:lang w:val="uk-UA"/>
        </w:rPr>
        <w:t>.</w:t>
      </w:r>
    </w:p>
    <w:p>
      <w:pPr>
        <w:pStyle w:val="Normal"/>
        <w:pBdr/>
        <w:spacing w:before="240" w:after="0"/>
        <w:ind w:firstLine="567"/>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FFFFFF" w:val="clear"/>
          <w:lang w:val="uk-UA"/>
        </w:rPr>
        <w:t xml:space="preserve">Реалізація цілей муніципального енергетичного плану </w:t>
      </w:r>
      <w:r>
        <w:rPr>
          <w:rFonts w:eastAsia="Times New Roman" w:cs="Times New Roman" w:ascii="Times New Roman" w:hAnsi="Times New Roman"/>
          <w:color w:val="000000"/>
          <w:sz w:val="28"/>
          <w:szCs w:val="28"/>
          <w:shd w:fill="FFFFFF" w:val="clear"/>
          <w:lang w:val="uk-UA"/>
        </w:rPr>
        <w:t>Покровської</w:t>
      </w:r>
      <w:r>
        <w:rPr>
          <w:rFonts w:eastAsia="Times New Roman" w:cs="Times New Roman" w:ascii="Times New Roman" w:hAnsi="Times New Roman"/>
          <w:color w:val="000000"/>
          <w:sz w:val="28"/>
          <w:szCs w:val="28"/>
          <w:shd w:fill="FFFFFF" w:val="clear"/>
          <w:lang w:val="uk-UA"/>
        </w:rPr>
        <w:t xml:space="preserve"> МТГ до 2030 року планується шляхом впровадження енергоефективних заходів за наступними напрямками: </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покращення енергоефективності муніципальних будівель, в тому числі через утеплення зовнішніх огороджувальних конструкцій;</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впровадження енергоефективних заходів для інженерних мереж та використання теплових насосів;</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термомодернізація житлових будівель;</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продовження робіт із модернізації систем водопостачання та водовідведення, в тому числі очисних споруд;</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будування нових котелень по громаді;</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переоснащення СЕС для забезпечення енергетичної сталості та комерційного використання;</w:t>
      </w:r>
    </w:p>
    <w:p>
      <w:pPr>
        <w:pStyle w:val="Normal"/>
        <w:numPr>
          <w:ilvl w:val="0"/>
          <w:numId w:val="2"/>
        </w:numPr>
        <w:pBdr/>
        <w:spacing w:before="0" w:after="0"/>
        <w:ind w:hanging="426" w:start="426"/>
        <w:jc w:val="both"/>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auto" w:val="clear"/>
          <w:lang w:val="uk-UA"/>
        </w:rPr>
        <w:t xml:space="preserve">проведення заходів із популяризації енергоефективності та використання ВДЕ. </w:t>
      </w:r>
    </w:p>
    <w:p>
      <w:pPr>
        <w:pStyle w:val="Normal"/>
        <w:spacing w:lineRule="auto" w:line="276" w:before="0" w:after="0"/>
        <w:jc w:val="center"/>
        <w:rPr>
          <w:rFonts w:ascii="Times New Roman" w:hAnsi="Times New Roman" w:eastAsia="Century Gothic" w:cs="Century Gothic"/>
          <w:b/>
          <w:bCs/>
          <w:color w:val="000000"/>
          <w:kern w:val="0"/>
          <w:sz w:val="28"/>
          <w:szCs w:val="28"/>
          <w:lang w:eastAsia="uk-UA"/>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4</w:t>
      </w:r>
      <w:r>
        <w:rPr>
          <w:rFonts w:eastAsia="Century Gothic" w:cs="Century Gothic" w:ascii="Times New Roman" w:hAnsi="Times New Roman"/>
          <w:b/>
          <w:bCs/>
          <w:color w:val="000000"/>
          <w:kern w:val="0"/>
          <w:sz w:val="28"/>
          <w:szCs w:val="28"/>
          <w:lang w:eastAsia="uk-UA"/>
        </w:rPr>
        <w:t>.</w:t>
      </w:r>
      <w:r>
        <w:rPr>
          <w:rFonts w:eastAsia="Century Gothic" w:cs="Century Gothic" w:ascii="Times New Roman" w:hAnsi="Times New Roman"/>
          <w:b/>
          <w:bCs/>
          <w:color w:val="000000"/>
          <w:kern w:val="0"/>
          <w:sz w:val="28"/>
          <w:szCs w:val="28"/>
          <w:shd w:fill="auto" w:val="clear"/>
          <w:lang w:eastAsia="uk-UA"/>
        </w:rPr>
        <w:t xml:space="preserve"> </w:t>
      </w:r>
      <w:r>
        <w:rPr>
          <w:rFonts w:eastAsia="Century Gothic" w:cs="Century Gothic" w:ascii="Times New Roman" w:hAnsi="Times New Roman"/>
          <w:b/>
          <w:bCs/>
          <w:color w:val="000000"/>
          <w:kern w:val="0"/>
          <w:sz w:val="28"/>
          <w:szCs w:val="28"/>
          <w:shd w:fill="auto" w:val="clear"/>
          <w:lang w:eastAsia="uk-UA"/>
        </w:rPr>
        <w:t>ПРОЄКТИ СТАЛОГО ЕНЕРГЕТИЧНОГО РОЗВИТКУ</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ПОКРОВСЬКОЇ МІСЬКОЇ ТЕРИТОРІАЛЬНОЇ ГРОМАДИ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before="0" w:after="0"/>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Будівлі бюджетних установ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У будівлях бюджетних</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 xml:space="preserve">комунальних </w:t>
      </w:r>
      <w:r>
        <w:rPr>
          <w:rFonts w:eastAsia="Century Gothic" w:cs="Century Gothic" w:ascii="Times New Roman" w:hAnsi="Times New Roman"/>
          <w:color w:val="000000"/>
          <w:kern w:val="0"/>
          <w:sz w:val="28"/>
          <w:szCs w:val="28"/>
          <w:shd w:fill="auto" w:val="clear"/>
          <w:lang w:eastAsia="uk-UA"/>
        </w:rPr>
        <w:t>у</w:t>
      </w:r>
      <w:r>
        <w:rPr>
          <w:rFonts w:eastAsia="Century Gothic" w:cs="Century Gothic" w:ascii="Times New Roman" w:hAnsi="Times New Roman"/>
          <w:color w:val="000000"/>
          <w:kern w:val="0"/>
          <w:sz w:val="28"/>
          <w:szCs w:val="28"/>
          <w:lang w:eastAsia="uk-UA"/>
        </w:rPr>
        <w:t>станов будуть реалізовані проєкти комплексної термомодернізації, які включатимуть такі заходи: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енергетичних аудитів будівель із визначенням базового рівня споживання енергоресурсів, питомих показників та пріоритетних заходів з енергоощадження;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утеплення цокольних приміщень, покрівлі та в разі потреби перекриття даху;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заміна вікон з дерев’яними рамами на пластикові із високими показниками термічного опору, заміна вхідних дверей та/або встановлення систем автоматичного закриття;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покращення термічного опору огороджувальних конструкцій коштом утеплення фасаду мінеральними плитами та покриття декоративного тинькування;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модернізація інженерних систем будівлі, в т.ч. очищення та балансування внутрішньої системи опалення для забезпечення оптимального розподілу теплоносія та зменшення понаднормових витрат теплової енергії, встановлення приладів регулювання температури, відновлення механічної вентиляції в разі потреби тощо;</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реконструкція системи освітлення із використанням світлодіодних світильників та сенсорів руху;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інші заходи з енергоощадження.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spacing w:lineRule="auto" w:line="240" w:before="0" w:after="0"/>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lineRule="auto" w:line="240" w:before="0" w:after="0"/>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Житловий сектор</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Для зниження споживання енергетичних ресурсів у житловому фонді необхідно провести комплексну термомодернізацію приватних та багатоквартирних будинків.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Основними інструментами досягнення даної цілі будуть: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фінансування проєктів з підвищення енергоефективності у багатоквартирних будинках.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надання інформаційної підтримки щодо можливостей участі в міжнародних програмах з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інформаційних та освітніх заходів щодо можливостей енергоощадження в побуті.</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Визначення проєктів неінвестиційного характеру (м’які міри), що можуть сприяти поліпшенню енергетичного розвитку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Основні проєкти неінвестиційного характеру включатимуть: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запровадження систем енергетичного менеджменту в громаді;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сприяння реалізації інвестиційних проєктів у сфері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інформаційні кампанії для підвищення поінформованості населення про заходи з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 xml:space="preserve">навчання представників органів місцевого самоврядування з питань </w:t>
      </w:r>
      <w:r>
        <w:rPr>
          <w:rFonts w:eastAsia="Century Gothic" w:cs="Century Gothic" w:ascii="Times New Roman" w:hAnsi="Times New Roman"/>
          <w:color w:val="000000"/>
          <w:kern w:val="0"/>
          <w:sz w:val="28"/>
          <w:szCs w:val="28"/>
          <w:lang w:eastAsia="uk-UA"/>
        </w:rPr>
        <w:t>підвищення енергоефективності та використання відновлюваних джерел енергії.</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Система енергетичного менеджменту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Основою для розвитку міської політики сталого енергетичного розвитку у секторі будівель бюджетних установ, організацій та комунальних підприємств буде розвиток системи енергетичного менеджменту. Дана система моніторингу, контролю та звітності в питаннях ефективності використання енергії включатиме електронні бази даних про об’єкти енергоспоживання, динаміку споживання енергії на кожному конкретному об’єкті та фактори, які суттєво впливають на споживання енергоресурсів.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Система енергоменеджменту в секторі будівель та споруд бюджетної сфери охоплюватиме управління споживанням паливо-енергетичними ресурсами.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Ефективна система енергетичного моніторингу дозволить у перспективі досягнути економії від 5% до 15% споживання енергоресурсів.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До числа першочергових завдань з формування системи енергоменеджменту для будівель комунальних закладів, установ, організацій та підприємств громади віднесено формування електронних баз даних про енерговикористання, кількість та якість послуг на об’єктах, які б дали змогу надалі формувати реальні баланси споживання енергоресурсів та води (в межах об’єктів, установ, галузей та в цілому по громаді), відстежувати динаміку зміни відповідних параметрів внаслідок впровадження ресурсоощадних заходів та докладати зусиль енергоменеджерів. При формуванні баз даних для будівель у якості джерела інформації доцільно використовувати щомісячні рахунки за придбані енергоресурси та кліматичні дані від гідрометеостанцій, однак основним каналом постачання інформації у наступні роки повинні слугувати показники приладів обліку та заміри умов комфорту на самих об’єктах.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Поряд зі створенням систем енергоменеджменту для будівель бюджетної сфери передбачається також формування локальних систем енергоменеджменту на усіх міських комунальних підприємствах/</w:t>
      </w:r>
      <w:r>
        <w:rPr>
          <w:rFonts w:eastAsia="Century Gothic" w:cs="Century Gothic" w:ascii="Times New Roman" w:hAnsi="Times New Roman"/>
          <w:color w:val="000000"/>
          <w:kern w:val="0"/>
          <w:sz w:val="28"/>
          <w:szCs w:val="28"/>
          <w:lang w:eastAsia="uk-UA"/>
        </w:rPr>
        <w:t>установах</w:t>
      </w:r>
      <w:r>
        <w:rPr>
          <w:rFonts w:eastAsia="Century Gothic" w:cs="Century Gothic" w:ascii="Times New Roman" w:hAnsi="Times New Roman"/>
          <w:color w:val="000000"/>
          <w:kern w:val="0"/>
          <w:sz w:val="28"/>
          <w:szCs w:val="28"/>
          <w:lang w:eastAsia="uk-UA"/>
        </w:rPr>
        <w:t>.</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Завданням головного енергоменеджера буде оптимізація видатків на придбання енергоресурсів та контроль за дотриманням якості енергетичних послуг. Запровадження системи енергоменеджменту забезпечить зниження споживання енергії коштом підвищення ефективності використання енергетичних ресурсів внаслідок щоденного жорсткого контролю за їх споживанням та реалізації маловитратних енергоощадних заходів. Система енергетичного менеджменту дозволить також визначити пріоритетні об’єкти для проведення комплексної термомодернізації будівель та сприятиме залученню фінансування міжнародних фінансових організацій на реалізацію подібних проєктів.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Сприяння реалізації інвестиційних проєктів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Місцева влада сприятиме розвитку інвестиційних проєктів у сфері енергоефективності завдяки наданню всебічної інформації про наявні перспективні проєкти, земельні ділянки та процедури проходження усіх необхідних дозвільних процедур. Інвестиційні пропозиції перспективних проєктів у сфері енергоефективності будуть розміщуватися на єдиному інформаційному інвестиційному порталі.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Передбачається формування бази даних об’єктів, на яких можлива реалізація проєктів з підвищення енергоефективності із залученням приватного капіталу на основі енергосервісних договорів. Інформація про проєкти на основі енергосервісних договорів буде розміщена в інформаційній базі потенційних об’єктів енергосервісу, розробленій Держенергоефективності.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pacing w:before="57" w:after="57"/>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Інформування населення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Заходи з інформування населення будуть невіддільною частиною проєктів з покращення ефективності використання енергетичних ресурсів у всіх секторах.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Інформаційні кампанії включатимуть: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 xml:space="preserve">проведення тематичних занять в дошкільних навчальних закладах та школах </w:t>
      </w:r>
      <w:r>
        <w:rPr>
          <w:rFonts w:eastAsia="Century Gothic" w:cs="Century Gothic" w:ascii="Times New Roman" w:hAnsi="Times New Roman"/>
          <w:color w:val="000000"/>
          <w:kern w:val="0"/>
          <w:sz w:val="28"/>
          <w:szCs w:val="28"/>
          <w:lang w:eastAsia="uk-UA"/>
        </w:rPr>
        <w:t>громади</w:t>
      </w:r>
      <w:r>
        <w:rPr>
          <w:rFonts w:eastAsia="Century Gothic" w:cs="Century Gothic" w:ascii="Times New Roman" w:hAnsi="Times New Roman"/>
          <w:color w:val="000000"/>
          <w:kern w:val="0"/>
          <w:sz w:val="28"/>
          <w:szCs w:val="28"/>
          <w:lang w:eastAsia="uk-UA"/>
        </w:rPr>
        <w:t>;</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конференцій, семінарів, конкурсів та інших екологічних заходів;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 </w:t>
      </w:r>
      <w:r>
        <w:rPr>
          <w:rFonts w:eastAsia="Century Gothic" w:cs="Century Gothic" w:ascii="Times New Roman" w:hAnsi="Times New Roman"/>
          <w:color w:val="000000"/>
          <w:kern w:val="0"/>
          <w:sz w:val="28"/>
          <w:szCs w:val="28"/>
          <w:lang w:eastAsia="uk-UA"/>
        </w:rPr>
        <w:t>проведення природоохоронних акцій серед мешканців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Основні тематичні напрями заходів з інформування населення включатимуть енергоощадження та ресурсоощадження в побуті, заходи з енергоефективності в будівлях та можливості їх фінансування, використання відновлюваних джерел енергії, роздільний збір відходів тощо. Поведінкові зміни можуть забезпечити значну економію електроенергії та теплової енергії в будівлях домогосподарств та бюджетних установ. Передбачається функціонування “Енергетичного офісу”, який буде надавати консультаційні послуги та популяризувати ідеї ефективного використання енергоресурсів. </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Проєкт «Енергетичний офіс» створений з метою популяризації ідей ощадного використання енергоресурсів, популяризації заходів з підвищення енергоефективності та енергоощадження, підвищення обізнаності з питань енергоефективних технологій та відновлювальних джерел енергії, створення ОСББ та його переваги, консультування щодо державних програм часткової компенсації утеплення об’єктів «Теплі кредити», консультування щодо використання зеленого тарифу та енергосервісного механізму. Консультації надаються </w:t>
      </w:r>
      <w:r>
        <w:rPr>
          <w:rFonts w:eastAsia="Times New Roman" w:cs="Times New Roman" w:ascii="Times New Roman" w:hAnsi="Times New Roman"/>
          <w:b w:val="false"/>
          <w:bCs w:val="false"/>
          <w:color w:val="000000"/>
          <w:kern w:val="0"/>
          <w:sz w:val="28"/>
          <w:szCs w:val="28"/>
          <w:lang w:eastAsia="uk-UA"/>
        </w:rPr>
        <w:t>е</w:t>
      </w:r>
      <w:r>
        <w:rPr>
          <w:rFonts w:eastAsia="Century Gothic" w:cs="Century Gothic" w:ascii="Times New Roman" w:hAnsi="Times New Roman"/>
          <w:b w:val="false"/>
          <w:bCs w:val="false"/>
          <w:color w:val="000000"/>
          <w:kern w:val="0"/>
          <w:sz w:val="28"/>
          <w:szCs w:val="28"/>
          <w:lang w:eastAsia="uk-UA"/>
        </w:rPr>
        <w:t>н</w:t>
      </w:r>
      <w:r>
        <w:rPr>
          <w:rFonts w:eastAsia="Century Gothic" w:cs="Century Gothic" w:ascii="Times New Roman" w:hAnsi="Times New Roman"/>
          <w:color w:val="000000"/>
          <w:kern w:val="0"/>
          <w:sz w:val="28"/>
          <w:szCs w:val="28"/>
          <w:lang w:eastAsia="uk-UA"/>
        </w:rPr>
        <w:t>ергоменеджером під час особистого прийому, телефоном та через мережу інтернет.</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Проєкт «Юний енергоменеджер» направлений на впровадження системи енергетичного менеджменту у школах та включення питань енергоощадження в освітній процес. Метою проєкту є виховання у школярів прагнення економії та небайдужого ставлення до нераціонального використання енергетичних ресурсів. Розвиток загальношкільного підходу до проблем енергоспоживання допоможе змінити світогляд учнів, підвищити рівень комфортності та знизити витрати коштів на експлуатацію шкільної будівлі.</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Навчання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Фахівці, залучені до реалізації Муніципального енергетичного плану, братимуть участь у навчаннях з питань енергетичного менеджменту, підготовки та оцінки заходів з підвищення енергоефективності та розвитку відновлюваної енергетики, написання проєктних пропозицій та заявок відповідно до вимог міжнародних фінансових організацій та інших установ. Місцева влада сприятиме участі енергоменеджера громади та інших фахівців у програмах підвищення кваліфікації спеціалістів органів місцевого самоврядування, навчальних семінарах, тренінгах, вебінарах та інших заходах.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Передбачається також налагодження співпраці з іншими містами та участь у міжнародних проєктах обміну досвідом для вивчення кращих практик реалізації проєктів з енергоефективності та використання відновлюваних джерел енергії.</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Завдяки опановуванню спеціалістами міської ради методами оцінки, аналізу і планування в енерговикористанні, навичками розробки енергоощадних заходів (проєктів), які враховують технічні, економічні, фінансові та адміністративні чинники, буде підвищено рівень компетентності та незалежності в процесі прийняття рішень з питань енергоощадження.</w:t>
      </w:r>
    </w:p>
    <w:p>
      <w:pPr>
        <w:pStyle w:val="Normal"/>
        <w:numPr>
          <w:ilvl w:val="0"/>
          <w:numId w:val="0"/>
        </w:numPr>
        <w:spacing w:lineRule="auto" w:line="259" w:before="0" w:after="80"/>
        <w:ind w:hanging="0" w:start="0"/>
        <w:jc w:val="center"/>
        <w:outlineLvl w:val="0"/>
        <w:rPr>
          <w:rFonts w:ascii="Times New Roman" w:hAnsi="Times New Roman" w:eastAsia="Century Gothic" w:cs="Century Gothic"/>
          <w:b/>
          <w:bCs/>
          <w:color w:val="000000"/>
          <w:kern w:val="0"/>
          <w:sz w:val="28"/>
          <w:szCs w:val="28"/>
          <w:lang w:eastAsia="uk-UA"/>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5</w:t>
      </w:r>
      <w:bookmarkStart w:id="51" w:name="_Toc195651507"/>
      <w:r>
        <w:rPr>
          <w:rFonts w:eastAsia="Century Gothic" w:cs="Century Gothic" w:ascii="Times New Roman" w:hAnsi="Times New Roman"/>
          <w:b/>
          <w:bCs/>
          <w:color w:val="000000"/>
          <w:kern w:val="0"/>
          <w:sz w:val="28"/>
          <w:szCs w:val="28"/>
          <w:lang w:eastAsia="uk-UA"/>
        </w:rPr>
        <w:t>. ОРГАНІЗАЦІЯ ВИКОНАННЯ ТА ФІНАНСУВАННЯ МЕП</w:t>
      </w:r>
      <w:bookmarkEnd w:id="51"/>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5</w:t>
      </w:r>
      <w:r>
        <w:rPr>
          <w:rFonts w:eastAsia="Century Gothic" w:cs="Century Gothic" w:ascii="Times New Roman" w:hAnsi="Times New Roman"/>
          <w:b/>
          <w:bCs/>
          <w:color w:val="000000"/>
          <w:kern w:val="0"/>
          <w:sz w:val="28"/>
          <w:szCs w:val="28"/>
          <w:lang w:eastAsia="uk-UA"/>
        </w:rPr>
        <w:t>.1. Бюджет громади</w:t>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Структура бюджету Покровської міської територіальної громади</w:t>
      </w:r>
    </w:p>
    <w:p>
      <w:pPr>
        <w:pStyle w:val="Normal"/>
        <w:spacing w:before="57" w:after="57"/>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в тис. грн. у період з 202</w:t>
      </w:r>
      <w:r>
        <w:rPr>
          <w:rFonts w:eastAsia="Century Gothic" w:cs="Century Gothic" w:ascii="Times New Roman" w:hAnsi="Times New Roman"/>
          <w:b/>
          <w:bCs/>
          <w:color w:val="000000"/>
          <w:kern w:val="0"/>
          <w:sz w:val="28"/>
          <w:szCs w:val="28"/>
          <w:lang w:eastAsia="uk-UA"/>
        </w:rPr>
        <w:t>2</w:t>
      </w:r>
      <w:r>
        <w:rPr>
          <w:rFonts w:eastAsia="Century Gothic" w:cs="Century Gothic" w:ascii="Times New Roman" w:hAnsi="Times New Roman"/>
          <w:b/>
          <w:bCs/>
          <w:color w:val="000000"/>
          <w:kern w:val="0"/>
          <w:sz w:val="28"/>
          <w:szCs w:val="28"/>
          <w:lang w:eastAsia="uk-UA"/>
        </w:rPr>
        <w:t xml:space="preserve">-2024 років </w:t>
      </w:r>
    </w:p>
    <w:tbl>
      <w:tblPr>
        <w:tblW w:w="5000" w:type="pct"/>
        <w:jc w:val="start"/>
        <w:tblInd w:w="-5" w:type="dxa"/>
        <w:tblLayout w:type="fixed"/>
        <w:tblCellMar>
          <w:top w:w="55" w:type="dxa"/>
          <w:start w:w="55" w:type="dxa"/>
          <w:bottom w:w="55" w:type="dxa"/>
          <w:end w:w="55" w:type="dxa"/>
        </w:tblCellMar>
      </w:tblPr>
      <w:tblGrid>
        <w:gridCol w:w="851"/>
        <w:gridCol w:w="1233"/>
        <w:gridCol w:w="1482"/>
        <w:gridCol w:w="1644"/>
        <w:gridCol w:w="1195"/>
        <w:gridCol w:w="1324"/>
        <w:gridCol w:w="1626"/>
      </w:tblGrid>
      <w:tr>
        <w:trPr/>
        <w:tc>
          <w:tcPr>
            <w:tcW w:w="851"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c>
          <w:tcPr>
            <w:tcW w:w="4359" w:type="dxa"/>
            <w:gridSpan w:val="3"/>
            <w:tcBorders>
              <w:top w:val="single" w:sz="4" w:space="0" w:color="000000"/>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Доходи</w:t>
            </w:r>
          </w:p>
        </w:tc>
        <w:tc>
          <w:tcPr>
            <w:tcW w:w="4145"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Видатки</w:t>
            </w:r>
          </w:p>
        </w:tc>
      </w:tr>
      <w:tr>
        <w:trPr/>
        <w:tc>
          <w:tcPr>
            <w:tcW w:w="851" w:type="dxa"/>
            <w:vMerge w:val="continue"/>
            <w:tcBorders>
              <w:top w:val="single" w:sz="4" w:space="0" w:color="000000"/>
              <w:start w:val="single" w:sz="4" w:space="0" w:color="000000"/>
              <w:bottom w:val="single" w:sz="4" w:space="0" w:color="000000"/>
            </w:tcBorders>
          </w:tcPr>
          <w:p>
            <w:pPr>
              <w:pStyle w:val="Normal"/>
              <w:rPr/>
            </w:pPr>
            <w:r>
              <w:rPr/>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Всього</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Загальний</w:t>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фонд</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Спеціальний фонд</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Всього</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Загальний</w:t>
            </w:r>
          </w:p>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фонд</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Спеціальний фонд</w:t>
            </w:r>
          </w:p>
        </w:tc>
      </w:tr>
      <w:tr>
        <w:trPr/>
        <w:tc>
          <w:tcPr>
            <w:tcW w:w="851"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2022</w:t>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394117</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2</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391384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9</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2732</w:t>
            </w:r>
            <w:r>
              <w:rPr>
                <w:rFonts w:eastAsia="Times New Roman" w:cs="Times New Roman" w:ascii="Times New Roman" w:hAnsi="Times New Roman"/>
                <w:sz w:val="28"/>
                <w:szCs w:val="28"/>
              </w:rPr>
              <w:t>,3</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382782</w:t>
            </w:r>
            <w:r>
              <w:rPr>
                <w:rFonts w:eastAsia="Times New Roman" w:cs="Times New Roman" w:ascii="Times New Roman" w:hAnsi="Times New Roman"/>
                <w:sz w:val="28"/>
                <w:szCs w:val="28"/>
              </w:rPr>
              <w:t>,8</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18560</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4</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64222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4</w:t>
            </w:r>
          </w:p>
        </w:tc>
      </w:tr>
      <w:tr>
        <w:trPr/>
        <w:tc>
          <w:tcPr>
            <w:tcW w:w="851"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2023</w:t>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465966</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5</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r>
              <w:rPr>
                <w:rFonts w:eastAsia="Times New Roman" w:cs="Times New Roman" w:ascii="Times New Roman" w:hAnsi="Times New Roman"/>
                <w:sz w:val="28"/>
                <w:szCs w:val="28"/>
              </w:rPr>
              <w:t>65752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2</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214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3</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491179</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3</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r>
              <w:rPr>
                <w:rFonts w:eastAsia="Times New Roman" w:cs="Times New Roman" w:ascii="Times New Roman" w:hAnsi="Times New Roman"/>
                <w:sz w:val="28"/>
                <w:szCs w:val="28"/>
              </w:rPr>
              <w:t>73682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7</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rPr>
              <w:t>17496</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6</w:t>
            </w:r>
          </w:p>
        </w:tc>
      </w:tr>
      <w:tr>
        <w:trPr/>
        <w:tc>
          <w:tcPr>
            <w:tcW w:w="851"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2024</w:t>
            </w:r>
          </w:p>
        </w:tc>
        <w:tc>
          <w:tcPr>
            <w:tcW w:w="1233"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49742</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7</w:t>
            </w:r>
          </w:p>
        </w:tc>
        <w:tc>
          <w:tcPr>
            <w:tcW w:w="1482"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47724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2</w:t>
            </w:r>
          </w:p>
        </w:tc>
        <w:tc>
          <w:tcPr>
            <w:tcW w:w="164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2018</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5</w:t>
            </w:r>
          </w:p>
        </w:tc>
        <w:tc>
          <w:tcPr>
            <w:tcW w:w="1195"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r>
              <w:rPr>
                <w:rFonts w:eastAsia="Times New Roman" w:cs="Times New Roman" w:ascii="Times New Roman" w:hAnsi="Times New Roman"/>
                <w:sz w:val="28"/>
                <w:szCs w:val="28"/>
              </w:rPr>
              <w:t>16504</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9</w:t>
            </w:r>
          </w:p>
        </w:tc>
        <w:tc>
          <w:tcPr>
            <w:tcW w:w="1324" w:type="dxa"/>
            <w:tcBorders>
              <w:start w:val="single" w:sz="4" w:space="0" w:color="000000"/>
              <w:bottom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346843</w:t>
            </w:r>
            <w:r>
              <w:rPr>
                <w:rFonts w:eastAsia="Times New Roman" w:cs="Times New Roman" w:ascii="Times New Roman" w:hAnsi="Times New Roman"/>
                <w:sz w:val="28"/>
                <w:szCs w:val="28"/>
              </w:rPr>
              <w:t>,</w:t>
            </w:r>
            <w:r>
              <w:rPr>
                <w:rFonts w:eastAsia="Times New Roman" w:cs="Times New Roman" w:ascii="Times New Roman" w:hAnsi="Times New Roman"/>
                <w:sz w:val="28"/>
                <w:szCs w:val="28"/>
              </w:rPr>
              <w:t>9</w:t>
            </w:r>
          </w:p>
        </w:tc>
        <w:tc>
          <w:tcPr>
            <w:tcW w:w="1626" w:type="dxa"/>
            <w:tcBorders>
              <w:start w:val="single" w:sz="4" w:space="0" w:color="000000"/>
              <w:bottom w:val="single" w:sz="4" w:space="0" w:color="000000"/>
              <w:end w:val="single" w:sz="4" w:space="0" w:color="000000"/>
            </w:tcBorders>
          </w:tcPr>
          <w:p>
            <w:pPr>
              <w:pStyle w:val="Style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169661,0</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Бюджет </w:t>
      </w:r>
      <w:r>
        <w:rPr>
          <w:rFonts w:eastAsia="Century Gothic" w:cs="Century Gothic" w:ascii="Times New Roman" w:hAnsi="Times New Roman"/>
          <w:color w:val="000000"/>
          <w:kern w:val="0"/>
          <w:sz w:val="28"/>
          <w:szCs w:val="28"/>
          <w:lang w:eastAsia="uk-UA"/>
        </w:rPr>
        <w:t>Покровської міської територіальної громади</w:t>
      </w:r>
      <w:r>
        <w:rPr>
          <w:rFonts w:eastAsia="Century Gothic" w:cs="Century Gothic" w:ascii="Times New Roman" w:hAnsi="Times New Roman"/>
          <w:color w:val="000000"/>
          <w:kern w:val="0"/>
          <w:sz w:val="28"/>
          <w:szCs w:val="28"/>
          <w:lang w:eastAsia="uk-UA"/>
        </w:rPr>
        <w:t xml:space="preserve"> формується відповідно до Бюджетного та Податкового кодексів України. </w:t>
      </w:r>
    </w:p>
    <w:p>
      <w:pPr>
        <w:pStyle w:val="Normal"/>
        <w:ind w:firstLine="567"/>
        <w:jc w:val="both"/>
        <w:rPr>
          <w:rFonts w:ascii="Times New Roman" w:hAnsi="Times New Roman"/>
          <w:sz w:val="26"/>
          <w:szCs w:val="26"/>
        </w:rPr>
      </w:pPr>
      <w:r>
        <w:rPr>
          <w:rFonts w:ascii="Times New Roman" w:hAnsi="Times New Roman"/>
          <w:sz w:val="24"/>
          <w:szCs w:val="24"/>
        </w:rPr>
      </w:r>
    </w:p>
    <w:p>
      <w:pPr>
        <w:pStyle w:val="Normal"/>
        <w:shd w:fill="FFFFFF" w:val="clear"/>
        <w:spacing w:lineRule="auto" w:line="276" w:before="0" w:after="0"/>
        <w:jc w:val="center"/>
        <w:rPr>
          <w:b/>
          <w:bCs/>
          <w:sz w:val="28"/>
          <w:szCs w:val="28"/>
        </w:rPr>
      </w:pPr>
      <w:r>
        <w:rPr>
          <w:rFonts w:ascii="Times New Roman" w:hAnsi="Times New Roman"/>
          <w:sz w:val="24"/>
          <w:szCs w:val="24"/>
        </w:rPr>
      </w:r>
    </w:p>
    <w:p>
      <w:pPr>
        <w:pStyle w:val="Normal"/>
        <w:shd w:fill="FFFFFF" w:val="clear"/>
        <w:spacing w:lineRule="auto" w:line="276" w:before="0" w:after="0"/>
        <w:jc w:val="center"/>
        <w:rPr>
          <w:rFonts w:ascii="Times New Roman" w:hAnsi="Times New Roman"/>
          <w:sz w:val="24"/>
          <w:szCs w:val="24"/>
        </w:rPr>
      </w:pPr>
      <w:r>
        <w:rPr>
          <w:rFonts w:ascii="Times New Roman" w:hAnsi="Times New Roman"/>
          <w:b/>
          <w:bCs/>
          <w:sz w:val="28"/>
          <w:szCs w:val="28"/>
        </w:rPr>
        <w:t>Динаміка</w:t>
      </w:r>
      <w:r>
        <w:rPr>
          <w:rFonts w:ascii="Times New Roman" w:hAnsi="Times New Roman"/>
          <w:b/>
          <w:bCs/>
          <w:sz w:val="28"/>
          <w:szCs w:val="28"/>
        </w:rPr>
        <w:t xml:space="preserve"> доходів загального фонду бюджету</w:t>
      </w:r>
    </w:p>
    <w:p>
      <w:pPr>
        <w:pStyle w:val="Normal"/>
        <w:shd w:fill="FFFFFF" w:val="clear"/>
        <w:spacing w:lineRule="auto" w:line="276" w:before="0" w:after="29"/>
        <w:jc w:val="center"/>
        <w:rPr>
          <w:rFonts w:ascii="Times New Roman" w:hAnsi="Times New Roman"/>
          <w:sz w:val="24"/>
          <w:szCs w:val="24"/>
        </w:rPr>
      </w:pPr>
      <w:r>
        <w:rPr>
          <w:rFonts w:ascii="Times New Roman" w:hAnsi="Times New Roman"/>
          <w:b/>
          <w:bCs/>
          <w:sz w:val="28"/>
          <w:szCs w:val="28"/>
        </w:rPr>
        <w:t>Покровської міської територіальної громади</w:t>
      </w:r>
      <w:r>
        <w:rPr>
          <w:rFonts w:ascii="Times New Roman" w:hAnsi="Times New Roman"/>
          <w:b/>
          <w:bCs/>
          <w:sz w:val="28"/>
          <w:szCs w:val="28"/>
        </w:rPr>
        <w:t>, тис. грн</w:t>
      </w:r>
      <w:r>
        <w:rPr>
          <w:rFonts w:ascii="Times New Roman" w:hAnsi="Times New Roman"/>
          <w:b/>
          <w:bCs/>
          <w:sz w:val="24"/>
          <w:szCs w:val="24"/>
        </w:rPr>
        <w:t>.</w:t>
      </w:r>
    </w:p>
    <w:p>
      <w:pPr>
        <w:pStyle w:val="Normal"/>
        <w:shd w:fill="FFFFFF" w:val="clear"/>
        <w:spacing w:lineRule="auto" w:line="276" w:before="0" w:after="29"/>
        <w:jc w:val="center"/>
        <w:rPr>
          <w:rFonts w:ascii="Times New Roman" w:hAnsi="Times New Roman" w:eastAsia="Century Gothic" w:cs="Century Gothic"/>
          <w:color w:val="000000"/>
          <w:kern w:val="0"/>
          <w:sz w:val="28"/>
          <w:szCs w:val="28"/>
          <w:lang w:eastAsia="uk-UA"/>
        </w:rPr>
      </w:pPr>
      <w:r>
        <w:rPr>
          <w:rFonts w:eastAsia="Century Gothic" w:cs="Century Gothic" w:ascii="Times New Roman" w:hAnsi="Times New Roman"/>
          <w:color w:val="000000"/>
          <w:kern w:val="0"/>
          <w:sz w:val="28"/>
          <w:szCs w:val="28"/>
          <w:lang w:eastAsia="uk-UA"/>
        </w:rPr>
        <w:drawing>
          <wp:inline distT="0" distB="0" distL="0" distR="0">
            <wp:extent cx="5711190" cy="2317115"/>
            <wp:effectExtent l="0" t="0" r="0" b="0"/>
            <wp:docPr id="13" name="Діаграма 2075703878"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Normal"/>
        <w:shd w:fill="FFFFFF" w:val="clear"/>
        <w:spacing w:lineRule="auto" w:line="276" w:before="0" w:after="200"/>
        <w:jc w:val="center"/>
        <w:rPr/>
      </w:pPr>
      <w:r>
        <w:rPr/>
      </w:r>
    </w:p>
    <w:p>
      <w:pPr>
        <w:pStyle w:val="Normal"/>
        <w:shd w:fill="FFFFFF" w:val="clear"/>
        <w:spacing w:lineRule="auto" w:line="276" w:before="0" w:after="200"/>
        <w:jc w:val="center"/>
        <w:rPr/>
      </w:pPr>
      <w:r>
        <w:rPr>
          <w:rFonts w:eastAsia="Century Gothic" w:cs="Century Gothic" w:ascii="Times New Roman" w:hAnsi="Times New Roman"/>
          <w:b/>
          <w:bCs/>
          <w:color w:themeColor="dark1" w:val="000000"/>
          <w:kern w:val="0"/>
          <w:sz w:val="28"/>
          <w:szCs w:val="28"/>
          <w:lang w:eastAsia="uk-UA"/>
        </w:rPr>
        <w:t>Динаміка</w:t>
      </w:r>
      <w:r>
        <w:rPr>
          <w:rFonts w:eastAsia="Century Gothic" w:cs="Century Gothic" w:ascii="Times New Roman" w:hAnsi="Times New Roman"/>
          <w:b/>
          <w:bCs/>
          <w:color w:themeColor="dark1" w:val="000000"/>
          <w:kern w:val="0"/>
          <w:sz w:val="28"/>
          <w:szCs w:val="28"/>
          <w:lang w:eastAsia="uk-UA"/>
        </w:rPr>
        <w:t xml:space="preserve"> доходів </w:t>
      </w:r>
      <w:r>
        <w:rPr>
          <w:rFonts w:eastAsia="Century Gothic" w:cs="Century Gothic" w:ascii="Times New Roman" w:hAnsi="Times New Roman"/>
          <w:b/>
          <w:bCs/>
          <w:color w:themeColor="dark1" w:val="000000"/>
          <w:kern w:val="0"/>
          <w:sz w:val="28"/>
          <w:szCs w:val="28"/>
          <w:lang w:eastAsia="uk-UA"/>
        </w:rPr>
        <w:t>спеціального</w:t>
      </w:r>
      <w:r>
        <w:rPr>
          <w:rFonts w:eastAsia="Century Gothic" w:cs="Century Gothic" w:ascii="Times New Roman" w:hAnsi="Times New Roman"/>
          <w:b/>
          <w:bCs/>
          <w:color w:themeColor="dark1" w:val="000000"/>
          <w:kern w:val="0"/>
          <w:sz w:val="28"/>
          <w:szCs w:val="28"/>
          <w:lang w:eastAsia="uk-UA"/>
        </w:rPr>
        <w:t xml:space="preserve"> фонду бюджету </w:t>
      </w:r>
      <w:r>
        <w:rPr>
          <w:rFonts w:eastAsia="Century Gothic" w:cs="Century Gothic" w:ascii="Times New Roman" w:hAnsi="Times New Roman"/>
          <w:b/>
          <w:bCs/>
          <w:color w:themeColor="dark1" w:val="000000"/>
          <w:kern w:val="0"/>
          <w:sz w:val="28"/>
          <w:szCs w:val="28"/>
          <w:lang w:eastAsia="uk-UA"/>
        </w:rPr>
        <w:t>Покровської міської територіальної громади</w:t>
      </w:r>
      <w:r>
        <w:rPr>
          <w:rFonts w:eastAsia="Century Gothic" w:cs="Century Gothic" w:ascii="Times New Roman" w:hAnsi="Times New Roman"/>
          <w:b/>
          <w:bCs/>
          <w:color w:themeColor="dark1" w:val="000000"/>
          <w:kern w:val="0"/>
          <w:sz w:val="28"/>
          <w:szCs w:val="28"/>
          <w:lang w:eastAsia="uk-UA"/>
        </w:rPr>
        <w:t>, тис. грн</w:t>
      </w:r>
      <w:r>
        <w:rPr>
          <w:rFonts w:eastAsia="Century Gothic" w:cs="Century Gothic" w:ascii="Times New Roman" w:hAnsi="Times New Roman"/>
          <w:b/>
          <w:bCs/>
          <w:color w:themeColor="dark1" w:val="000000"/>
          <w:kern w:val="0"/>
          <w:sz w:val="24"/>
          <w:szCs w:val="24"/>
          <w:lang w:eastAsia="uk-UA"/>
        </w:rPr>
        <w:t>.</w:t>
      </w:r>
      <w:r>
        <w:rPr>
          <w:rFonts w:eastAsia="Century Gothic" w:cs="Century Gothic" w:ascii="Times New Roman" w:hAnsi="Times New Roman"/>
          <w:color w:val="000000"/>
          <w:kern w:val="0"/>
          <w:sz w:val="28"/>
          <w:szCs w:val="28"/>
          <w:lang w:eastAsia="uk-UA"/>
        </w:rPr>
        <w:drawing>
          <wp:inline distT="0" distB="0" distL="0" distR="0">
            <wp:extent cx="5759450" cy="2317115"/>
            <wp:effectExtent l="0" t="0" r="0" b="0"/>
            <wp:docPr id="14" name="Діаграма 2075703880"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За 202</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рік до загального та спеціального фондів бюджету </w:t>
      </w:r>
      <w:r>
        <w:rPr>
          <w:rFonts w:eastAsia="Century Gothic" w:cs="Century Gothic" w:ascii="Times New Roman" w:hAnsi="Times New Roman"/>
          <w:color w:val="000000"/>
          <w:kern w:val="0"/>
          <w:sz w:val="28"/>
          <w:szCs w:val="28"/>
          <w:shd w:fill="auto" w:val="clear"/>
          <w:lang w:eastAsia="uk-UA"/>
        </w:rPr>
        <w:t xml:space="preserve">Покровської міської </w:t>
      </w:r>
      <w:r>
        <w:rPr>
          <w:rFonts w:eastAsia="Century Gothic" w:cs="Century Gothic" w:ascii="Times New Roman" w:hAnsi="Times New Roman"/>
          <w:color w:val="000000"/>
          <w:kern w:val="0"/>
          <w:sz w:val="28"/>
          <w:szCs w:val="28"/>
          <w:shd w:fill="auto" w:val="clear"/>
          <w:lang w:eastAsia="uk-UA"/>
        </w:rPr>
        <w:t xml:space="preserve">територіальної громади надійшло </w:t>
      </w:r>
      <w:r>
        <w:rPr>
          <w:rFonts w:eastAsia="Times New Roman" w:cs="Times New Roman" w:ascii="Times New Roman" w:hAnsi="Times New Roman"/>
          <w:color w:val="000000"/>
          <w:kern w:val="0"/>
          <w:sz w:val="28"/>
          <w:szCs w:val="28"/>
          <w:shd w:fill="auto" w:val="clear"/>
          <w:lang w:eastAsia="uk-UA"/>
        </w:rPr>
        <w:t>5</w:t>
      </w:r>
      <w:r>
        <w:rPr>
          <w:rFonts w:eastAsia="Times New Roman" w:cs="Times New Roman" w:ascii="Times New Roman" w:hAnsi="Times New Roman"/>
          <w:color w:val="000000"/>
          <w:kern w:val="0"/>
          <w:sz w:val="28"/>
          <w:szCs w:val="28"/>
          <w:shd w:fill="auto" w:val="clear"/>
          <w:lang w:eastAsia="uk-UA"/>
        </w:rPr>
        <w:t>49,7</w:t>
      </w:r>
      <w:r>
        <w:rPr>
          <w:rFonts w:eastAsia="Century Gothic" w:cs="Century Gothic" w:ascii="Times New Roman" w:hAnsi="Times New Roman"/>
          <w:color w:val="000000"/>
          <w:kern w:val="0"/>
          <w:sz w:val="28"/>
          <w:szCs w:val="28"/>
          <w:shd w:fill="auto" w:val="clear"/>
          <w:lang w:eastAsia="uk-UA"/>
        </w:rPr>
        <w:t xml:space="preserve"> млн. грн. (на </w:t>
      </w:r>
      <w:r>
        <w:rPr>
          <w:rFonts w:eastAsia="Century Gothic" w:cs="Century Gothic" w:ascii="Times New Roman" w:hAnsi="Times New Roman"/>
          <w:color w:val="000000"/>
          <w:kern w:val="0"/>
          <w:sz w:val="28"/>
          <w:szCs w:val="28"/>
          <w:shd w:fill="auto" w:val="clear"/>
          <w:lang w:eastAsia="uk-UA"/>
        </w:rPr>
        <w:t>18</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більше</w:t>
      </w:r>
      <w:r>
        <w:rPr>
          <w:rFonts w:eastAsia="Century Gothic" w:cs="Century Gothic" w:ascii="Times New Roman" w:hAnsi="Times New Roman"/>
          <w:color w:val="000000"/>
          <w:kern w:val="0"/>
          <w:sz w:val="28"/>
          <w:szCs w:val="28"/>
          <w:shd w:fill="auto" w:val="clear"/>
          <w:lang w:eastAsia="uk-UA"/>
        </w:rPr>
        <w:t>, ніж у 202</w:t>
      </w:r>
      <w:r>
        <w:rPr>
          <w:rFonts w:eastAsia="Century Gothic" w:cs="Century Gothic" w:ascii="Times New Roman" w:hAnsi="Times New Roman"/>
          <w:color w:val="000000"/>
          <w:kern w:val="0"/>
          <w:sz w:val="28"/>
          <w:szCs w:val="28"/>
          <w:shd w:fill="auto" w:val="clear"/>
          <w:lang w:eastAsia="uk-UA"/>
        </w:rPr>
        <w:t>3</w:t>
      </w:r>
      <w:r>
        <w:rPr>
          <w:rFonts w:eastAsia="Century Gothic" w:cs="Century Gothic" w:ascii="Times New Roman" w:hAnsi="Times New Roman"/>
          <w:color w:val="000000"/>
          <w:kern w:val="0"/>
          <w:sz w:val="28"/>
          <w:szCs w:val="28"/>
          <w:shd w:fill="auto" w:val="clear"/>
          <w:lang w:eastAsia="uk-UA"/>
        </w:rPr>
        <w:t xml:space="preserve"> році), видатки – </w:t>
      </w:r>
      <w:r>
        <w:rPr>
          <w:rFonts w:eastAsia="Times New Roman" w:cs="Times New Roman" w:ascii="Times New Roman" w:hAnsi="Times New Roman"/>
          <w:color w:val="000000"/>
          <w:kern w:val="0"/>
          <w:sz w:val="28"/>
          <w:szCs w:val="28"/>
          <w:shd w:fill="auto" w:val="clear"/>
          <w:lang w:eastAsia="uk-UA"/>
        </w:rPr>
        <w:t>5</w:t>
      </w:r>
      <w:r>
        <w:rPr>
          <w:rFonts w:eastAsia="Times New Roman" w:cs="Times New Roman" w:ascii="Times New Roman" w:hAnsi="Times New Roman"/>
          <w:color w:val="000000"/>
          <w:kern w:val="0"/>
          <w:sz w:val="28"/>
          <w:szCs w:val="28"/>
          <w:shd w:fill="auto" w:val="clear"/>
          <w:lang w:eastAsia="uk-UA"/>
        </w:rPr>
        <w:t>16,5</w:t>
      </w:r>
      <w:r>
        <w:rPr>
          <w:rFonts w:eastAsia="Century Gothic" w:cs="Century Gothic" w:ascii="Times New Roman" w:hAnsi="Times New Roman"/>
          <w:color w:val="000000"/>
          <w:kern w:val="0"/>
          <w:sz w:val="28"/>
          <w:szCs w:val="28"/>
          <w:shd w:fill="auto" w:val="clear"/>
          <w:lang w:eastAsia="uk-UA"/>
        </w:rPr>
        <w:t xml:space="preserve"> млн грн (на </w:t>
      </w:r>
      <w:r>
        <w:rPr>
          <w:rFonts w:eastAsia="Century Gothic" w:cs="Century Gothic" w:ascii="Times New Roman" w:hAnsi="Times New Roman"/>
          <w:color w:val="000000"/>
          <w:kern w:val="0"/>
          <w:sz w:val="28"/>
          <w:szCs w:val="28"/>
          <w:shd w:fill="auto" w:val="clear"/>
          <w:lang w:eastAsia="uk-UA"/>
        </w:rPr>
        <w:t>5</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1</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більше</w:t>
      </w:r>
      <w:r>
        <w:rPr>
          <w:rFonts w:eastAsia="Century Gothic" w:cs="Century Gothic" w:ascii="Times New Roman" w:hAnsi="Times New Roman"/>
          <w:color w:val="000000"/>
          <w:kern w:val="0"/>
          <w:sz w:val="28"/>
          <w:szCs w:val="28"/>
          <w:shd w:fill="auto" w:val="clear"/>
          <w:lang w:eastAsia="uk-UA"/>
        </w:rPr>
        <w:t xml:space="preserve">  попереднього року). </w:t>
      </w:r>
      <w:r>
        <w:rPr>
          <w:rFonts w:eastAsia="Century Gothic" w:cs="Century Gothic" w:ascii="Times New Roman" w:hAnsi="Times New Roman"/>
          <w:color w:val="000000"/>
          <w:kern w:val="0"/>
          <w:sz w:val="28"/>
          <w:szCs w:val="28"/>
          <w:shd w:fill="auto" w:val="clear"/>
          <w:lang w:eastAsia="uk-UA"/>
        </w:rPr>
        <w:t>У</w:t>
      </w:r>
      <w:r>
        <w:rPr>
          <w:rFonts w:eastAsia="Century Gothic" w:cs="Century Gothic" w:ascii="Times New Roman" w:hAnsi="Times New Roman"/>
          <w:color w:val="000000"/>
          <w:kern w:val="0"/>
          <w:sz w:val="28"/>
          <w:szCs w:val="28"/>
          <w:shd w:fill="auto" w:val="clear"/>
          <w:lang w:eastAsia="uk-UA"/>
        </w:rPr>
        <w:t xml:space="preserve"> 202</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р</w:t>
      </w:r>
      <w:r>
        <w:rPr>
          <w:rFonts w:eastAsia="Century Gothic" w:cs="Century Gothic" w:ascii="Times New Roman" w:hAnsi="Times New Roman"/>
          <w:color w:val="000000"/>
          <w:kern w:val="0"/>
          <w:sz w:val="28"/>
          <w:szCs w:val="28"/>
          <w:shd w:fill="auto" w:val="clear"/>
          <w:lang w:eastAsia="uk-UA"/>
        </w:rPr>
        <w:t xml:space="preserve">оці </w:t>
      </w:r>
      <w:r>
        <w:rPr>
          <w:rFonts w:eastAsia="Century Gothic" w:cs="Century Gothic" w:ascii="Times New Roman" w:hAnsi="Times New Roman"/>
          <w:color w:val="000000"/>
          <w:kern w:val="0"/>
          <w:sz w:val="28"/>
          <w:szCs w:val="28"/>
          <w:shd w:fill="auto" w:val="clear"/>
          <w:lang w:eastAsia="uk-UA"/>
        </w:rPr>
        <w:t xml:space="preserve">податкові надходження склали </w:t>
      </w:r>
      <w:r>
        <w:rPr>
          <w:rFonts w:eastAsia="Century Gothic" w:cs="Century Gothic" w:ascii="Times New Roman" w:hAnsi="Times New Roman"/>
          <w:color w:val="000000"/>
          <w:kern w:val="0"/>
          <w:sz w:val="28"/>
          <w:szCs w:val="28"/>
          <w:shd w:fill="auto" w:val="clear"/>
          <w:lang w:eastAsia="uk-UA"/>
        </w:rPr>
        <w:t>5</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8</w:t>
      </w:r>
      <w:r>
        <w:rPr>
          <w:rFonts w:eastAsia="Century Gothic" w:cs="Century Gothic" w:ascii="Times New Roman" w:hAnsi="Times New Roman"/>
          <w:color w:val="000000"/>
          <w:kern w:val="0"/>
          <w:sz w:val="28"/>
          <w:szCs w:val="28"/>
          <w:shd w:fill="auto" w:val="clear"/>
          <w:lang w:eastAsia="uk-UA"/>
        </w:rPr>
        <w:t xml:space="preserve">% усіх доходів бюджету </w:t>
      </w:r>
      <w:r>
        <w:rPr>
          <w:rFonts w:eastAsia="Century Gothic" w:cs="Century Gothic" w:ascii="Times New Roman" w:hAnsi="Times New Roman"/>
          <w:color w:val="000000"/>
          <w:kern w:val="0"/>
          <w:sz w:val="28"/>
          <w:szCs w:val="28"/>
          <w:shd w:fill="auto" w:val="clear"/>
          <w:lang w:eastAsia="uk-UA"/>
        </w:rPr>
        <w:t xml:space="preserve">Покровської </w:t>
      </w:r>
      <w:r>
        <w:rPr>
          <w:rFonts w:eastAsia="Century Gothic" w:cs="Century Gothic" w:ascii="Times New Roman" w:hAnsi="Times New Roman"/>
          <w:color w:val="000000"/>
          <w:kern w:val="0"/>
          <w:sz w:val="28"/>
          <w:szCs w:val="28"/>
          <w:shd w:fill="auto" w:val="clear"/>
          <w:lang w:eastAsia="uk-UA"/>
        </w:rPr>
        <w:t>міської</w:t>
      </w:r>
      <w:r>
        <w:rPr>
          <w:rFonts w:eastAsia="Century Gothic" w:cs="Century Gothic" w:ascii="Times New Roman" w:hAnsi="Times New Roman"/>
          <w:color w:val="000000"/>
          <w:kern w:val="0"/>
          <w:sz w:val="28"/>
          <w:szCs w:val="28"/>
          <w:shd w:fill="auto" w:val="clear"/>
          <w:lang w:eastAsia="uk-UA"/>
        </w:rPr>
        <w:t xml:space="preserve"> громади, </w:t>
      </w:r>
      <w:r>
        <w:rPr>
          <w:rFonts w:eastAsia="Century Gothic" w:cs="Century Gothic" w:ascii="Times New Roman" w:hAnsi="Times New Roman"/>
          <w:color w:val="000000"/>
          <w:kern w:val="0"/>
          <w:sz w:val="28"/>
          <w:szCs w:val="28"/>
          <w:shd w:fill="auto" w:val="clear"/>
          <w:lang w:eastAsia="uk-UA"/>
        </w:rPr>
        <w:t>у</w:t>
      </w:r>
      <w:r>
        <w:rPr>
          <w:rFonts w:eastAsia="Century Gothic" w:cs="Century Gothic" w:ascii="Times New Roman" w:hAnsi="Times New Roman"/>
          <w:color w:val="000000"/>
          <w:kern w:val="0"/>
          <w:sz w:val="28"/>
          <w:szCs w:val="28"/>
          <w:shd w:fill="auto" w:val="clear"/>
          <w:lang w:eastAsia="uk-UA"/>
        </w:rPr>
        <w:t xml:space="preserve"> 202</w:t>
      </w:r>
      <w:r>
        <w:rPr>
          <w:rFonts w:eastAsia="Century Gothic" w:cs="Century Gothic" w:ascii="Times New Roman" w:hAnsi="Times New Roman"/>
          <w:color w:val="000000"/>
          <w:kern w:val="0"/>
          <w:sz w:val="28"/>
          <w:szCs w:val="28"/>
          <w:shd w:fill="auto" w:val="clear"/>
          <w:lang w:eastAsia="uk-UA"/>
        </w:rPr>
        <w:t xml:space="preserve">3 </w:t>
      </w:r>
      <w:r>
        <w:rPr>
          <w:rFonts w:eastAsia="Century Gothic" w:cs="Century Gothic" w:ascii="Times New Roman" w:hAnsi="Times New Roman"/>
          <w:color w:val="000000"/>
          <w:kern w:val="0"/>
          <w:sz w:val="28"/>
          <w:szCs w:val="28"/>
          <w:shd w:fill="auto" w:val="clear"/>
          <w:lang w:eastAsia="uk-UA"/>
        </w:rPr>
        <w:t>році вон</w:t>
      </w:r>
      <w:r>
        <w:rPr>
          <w:rFonts w:eastAsia="Century Gothic" w:cs="Century Gothic" w:ascii="Times New Roman" w:hAnsi="Times New Roman"/>
          <w:color w:val="000000"/>
          <w:kern w:val="0"/>
          <w:sz w:val="28"/>
          <w:szCs w:val="28"/>
          <w:shd w:fill="auto" w:val="clear"/>
          <w:lang w:eastAsia="uk-UA"/>
        </w:rPr>
        <w:t>и</w:t>
      </w:r>
      <w:r>
        <w:rPr>
          <w:rFonts w:eastAsia="Century Gothic" w:cs="Century Gothic" w:ascii="Times New Roman" w:hAnsi="Times New Roman"/>
          <w:color w:val="000000"/>
          <w:kern w:val="0"/>
          <w:sz w:val="28"/>
          <w:szCs w:val="28"/>
          <w:shd w:fill="auto" w:val="clear"/>
          <w:lang w:eastAsia="uk-UA"/>
        </w:rPr>
        <w:t xml:space="preserve"> становил</w:t>
      </w:r>
      <w:r>
        <w:rPr>
          <w:rFonts w:eastAsia="Century Gothic" w:cs="Century Gothic" w:ascii="Times New Roman" w:hAnsi="Times New Roman"/>
          <w:color w:val="000000"/>
          <w:kern w:val="0"/>
          <w:sz w:val="28"/>
          <w:szCs w:val="28"/>
          <w:shd w:fill="auto" w:val="clear"/>
          <w:lang w:eastAsia="uk-UA"/>
        </w:rPr>
        <w:t>и</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73</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7</w:t>
      </w:r>
      <w:r>
        <w:rPr>
          <w:rFonts w:eastAsia="Century Gothic" w:cs="Century Gothic" w:ascii="Times New Roman" w:hAnsi="Times New Roman"/>
          <w:color w:val="000000"/>
          <w:kern w:val="0"/>
          <w:sz w:val="28"/>
          <w:szCs w:val="28"/>
          <w:shd w:fill="auto" w:val="clear"/>
          <w:lang w:eastAsia="uk-UA"/>
        </w:rPr>
        <w:t>% усіх доходів бюджету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 xml:space="preserve">Бюджетоутворюючі податкові надходження </w:t>
      </w:r>
    </w:p>
    <w:p>
      <w:pPr>
        <w:pStyle w:val="Normal"/>
        <w:spacing w:before="57" w:after="57"/>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t>Покровської міської</w:t>
      </w:r>
      <w:r>
        <w:rPr>
          <w:rFonts w:eastAsia="Century Gothic" w:cs="Century Gothic" w:ascii="Times New Roman" w:hAnsi="Times New Roman"/>
          <w:b/>
          <w:bCs/>
          <w:color w:val="000000"/>
          <w:kern w:val="0"/>
          <w:sz w:val="28"/>
          <w:szCs w:val="28"/>
          <w:lang w:eastAsia="uk-UA"/>
        </w:rPr>
        <w:t xml:space="preserve"> громади</w:t>
      </w:r>
    </w:p>
    <w:tbl>
      <w:tblPr>
        <w:tblW w:w="5000" w:type="pct"/>
        <w:jc w:val="start"/>
        <w:tblInd w:w="-5" w:type="dxa"/>
        <w:tblLayout w:type="fixed"/>
        <w:tblCellMar>
          <w:top w:w="55" w:type="dxa"/>
          <w:start w:w="55" w:type="dxa"/>
          <w:bottom w:w="55" w:type="dxa"/>
          <w:end w:w="55" w:type="dxa"/>
        </w:tblCellMar>
      </w:tblPr>
      <w:tblGrid>
        <w:gridCol w:w="4997"/>
        <w:gridCol w:w="1419"/>
        <w:gridCol w:w="1493"/>
        <w:gridCol w:w="1446"/>
      </w:tblGrid>
      <w:tr>
        <w:trPr/>
        <w:tc>
          <w:tcPr>
            <w:tcW w:w="4997" w:type="dxa"/>
            <w:vMerge w:val="restart"/>
            <w:tcBorders>
              <w:top w:val="single" w:sz="4" w:space="0" w:color="000000"/>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r>
          </w:p>
        </w:tc>
        <w:tc>
          <w:tcPr>
            <w:tcW w:w="1419" w:type="dxa"/>
            <w:tcBorders>
              <w:top w:val="single" w:sz="4" w:space="0" w:color="000000"/>
              <w:start w:val="single" w:sz="4" w:space="0" w:color="000000"/>
              <w:bottom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2022</w:t>
            </w:r>
          </w:p>
        </w:tc>
        <w:tc>
          <w:tcPr>
            <w:tcW w:w="1493" w:type="dxa"/>
            <w:tcBorders>
              <w:top w:val="single" w:sz="4" w:space="0" w:color="000000"/>
              <w:start w:val="single" w:sz="4" w:space="0" w:color="000000"/>
              <w:bottom w:val="single" w:sz="4" w:space="0" w:color="000000"/>
            </w:tcBorders>
          </w:tcPr>
          <w:p>
            <w:pPr>
              <w:pStyle w:val="Normal"/>
              <w:jc w:val="center"/>
              <w:rPr>
                <w:rFonts w:ascii="Times New Roman" w:hAnsi="Times New Roman"/>
                <w:sz w:val="28"/>
                <w:szCs w:val="28"/>
              </w:rPr>
            </w:pPr>
            <w:r>
              <w:rPr>
                <w:rFonts w:ascii="Times New Roman" w:hAnsi="Times New Roman"/>
                <w:sz w:val="28"/>
                <w:szCs w:val="28"/>
              </w:rPr>
              <w:t>2023</w:t>
            </w:r>
          </w:p>
        </w:tc>
        <w:tc>
          <w:tcPr>
            <w:tcW w:w="144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2024</w:t>
            </w:r>
          </w:p>
        </w:tc>
      </w:tr>
      <w:tr>
        <w:trPr/>
        <w:tc>
          <w:tcPr>
            <w:tcW w:w="4997" w:type="dxa"/>
            <w:vMerge w:val="continue"/>
            <w:tcBorders>
              <w:top w:val="single" w:sz="4" w:space="0" w:color="000000"/>
              <w:start w:val="single" w:sz="4" w:space="0" w:color="000000"/>
              <w:bottom w:val="single" w:sz="4" w:space="0" w:color="000000"/>
            </w:tcBorders>
          </w:tcPr>
          <w:p>
            <w:pPr>
              <w:pStyle w:val="Normal"/>
              <w:rPr/>
            </w:pPr>
            <w:r>
              <w:rPr/>
            </w:r>
          </w:p>
        </w:tc>
        <w:tc>
          <w:tcPr>
            <w:tcW w:w="1419" w:type="dxa"/>
            <w:tcBorders>
              <w:start w:val="single" w:sz="4" w:space="0" w:color="000000"/>
              <w:bottom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тис</w:t>
            </w:r>
            <w:r>
              <w:rPr>
                <w:rFonts w:eastAsia="Century Gothic" w:cs="Century Gothic" w:ascii="Times New Roman" w:hAnsi="Times New Roman"/>
                <w:sz w:val="28"/>
                <w:szCs w:val="28"/>
              </w:rPr>
              <w:t>.грн.</w:t>
            </w:r>
          </w:p>
        </w:tc>
        <w:tc>
          <w:tcPr>
            <w:tcW w:w="1493" w:type="dxa"/>
            <w:tcBorders>
              <w:start w:val="single" w:sz="4" w:space="0" w:color="000000"/>
              <w:bottom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тис</w:t>
            </w:r>
            <w:r>
              <w:rPr>
                <w:rFonts w:eastAsia="Century Gothic" w:cs="Century Gothic" w:ascii="Times New Roman" w:hAnsi="Times New Roman"/>
                <w:sz w:val="28"/>
                <w:szCs w:val="28"/>
              </w:rPr>
              <w:t>.грн.</w:t>
            </w:r>
          </w:p>
        </w:tc>
        <w:tc>
          <w:tcPr>
            <w:tcW w:w="1446" w:type="dxa"/>
            <w:tcBorders>
              <w:start w:val="single" w:sz="4" w:space="0" w:color="000000"/>
              <w:bottom w:val="single" w:sz="4" w:space="0" w:color="000000"/>
              <w:end w:val="single" w:sz="4" w:space="0" w:color="000000"/>
            </w:tcBorders>
          </w:tcPr>
          <w:p>
            <w:pPr>
              <w:pStyle w:val="Style20"/>
              <w:jc w:val="center"/>
              <w:rPr>
                <w:rFonts w:ascii="Times New Roman" w:hAnsi="Times New Roman" w:eastAsia="Century Gothic" w:cs="Century Gothic"/>
                <w:sz w:val="28"/>
                <w:szCs w:val="28"/>
              </w:rPr>
            </w:pPr>
            <w:r>
              <w:rPr>
                <w:rFonts w:eastAsia="Century Gothic" w:cs="Century Gothic" w:ascii="Times New Roman" w:hAnsi="Times New Roman"/>
                <w:sz w:val="28"/>
                <w:szCs w:val="28"/>
              </w:rPr>
              <w:t>тис</w:t>
            </w:r>
            <w:r>
              <w:rPr>
                <w:rFonts w:eastAsia="Century Gothic" w:cs="Century Gothic" w:ascii="Times New Roman" w:hAnsi="Times New Roman"/>
                <w:sz w:val="28"/>
                <w:szCs w:val="28"/>
              </w:rPr>
              <w:t>.грн.</w:t>
            </w:r>
          </w:p>
        </w:tc>
      </w:tr>
      <w:tr>
        <w:trPr/>
        <w:tc>
          <w:tcPr>
            <w:tcW w:w="4997" w:type="dxa"/>
            <w:tcBorders>
              <w:start w:val="single" w:sz="4" w:space="0" w:color="000000"/>
              <w:bottom w:val="single" w:sz="4" w:space="0" w:color="000000"/>
            </w:tcBorders>
          </w:tcPr>
          <w:p>
            <w:pPr>
              <w:pStyle w:val="Style20"/>
              <w:jc w:val="start"/>
              <w:rPr>
                <w:rFonts w:ascii="Times New Roman" w:hAnsi="Times New Roman" w:eastAsia="Century Gothic" w:cs="Century Gothic"/>
                <w:b/>
                <w:bCs/>
                <w:sz w:val="28"/>
                <w:szCs w:val="28"/>
              </w:rPr>
            </w:pPr>
            <w:r>
              <w:rPr>
                <w:rFonts w:eastAsia="Century Gothic" w:cs="Century Gothic" w:ascii="Times New Roman" w:hAnsi="Times New Roman"/>
                <w:b/>
                <w:bCs/>
                <w:sz w:val="28"/>
                <w:szCs w:val="28"/>
              </w:rPr>
              <w:t>Податкові надходження (ПН) всього</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301202</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3</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343248,6</w:t>
            </w:r>
          </w:p>
        </w:tc>
        <w:tc>
          <w:tcPr>
            <w:tcW w:w="1446"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302042</w:t>
            </w:r>
            <w:r>
              <w:rPr>
                <w:rFonts w:eastAsia="Century Gothic" w:cs="Century Gothic" w:ascii="Times New Roman" w:hAnsi="Times New Roman"/>
                <w:sz w:val="28"/>
                <w:szCs w:val="28"/>
                <w:shd w:fill="auto" w:val="clear"/>
              </w:rPr>
              <w:t>,</w:t>
            </w:r>
            <w:r>
              <w:rPr>
                <w:rFonts w:eastAsia="Century Gothic" w:cs="Century Gothic" w:ascii="Times New Roman" w:hAnsi="Times New Roman"/>
                <w:sz w:val="28"/>
                <w:szCs w:val="28"/>
                <w:shd w:fill="auto" w:val="clear"/>
              </w:rPr>
              <w:t>4</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w:t>
            </w:r>
            <w:r>
              <w:rPr>
                <w:rFonts w:eastAsia="Century Gothic" w:cs="Century Gothic" w:ascii="Times New Roman" w:hAnsi="Times New Roman"/>
                <w:sz w:val="28"/>
                <w:szCs w:val="28"/>
              </w:rPr>
              <w:t>одат</w:t>
            </w:r>
            <w:r>
              <w:rPr>
                <w:rFonts w:eastAsia="Century Gothic" w:cs="Century Gothic" w:ascii="Times New Roman" w:hAnsi="Times New Roman"/>
                <w:sz w:val="28"/>
                <w:szCs w:val="28"/>
              </w:rPr>
              <w:t>о</w:t>
            </w:r>
            <w:r>
              <w:rPr>
                <w:rFonts w:eastAsia="Century Gothic" w:cs="Century Gothic" w:ascii="Times New Roman" w:hAnsi="Times New Roman"/>
                <w:sz w:val="28"/>
                <w:szCs w:val="28"/>
              </w:rPr>
              <w:t>к на доходи</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180793,5</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192745,7</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133221,</w:t>
            </w:r>
            <w:r>
              <w:rPr>
                <w:rFonts w:eastAsia="Century Gothic" w:cs="Century Gothic" w:ascii="Times New Roman" w:hAnsi="Times New Roman"/>
                <w:sz w:val="28"/>
                <w:szCs w:val="28"/>
                <w:shd w:fill="auto" w:val="clear"/>
              </w:rPr>
              <w:t>68</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Податок на прибуток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73,3</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-139</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278,</w:t>
            </w:r>
            <w:r>
              <w:rPr>
                <w:rFonts w:eastAsia="Century Gothic" w:cs="Century Gothic" w:ascii="Times New Roman" w:hAnsi="Times New Roman"/>
                <w:sz w:val="28"/>
                <w:szCs w:val="28"/>
                <w:shd w:fill="auto" w:val="clear"/>
              </w:rPr>
              <w:t>66</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Збір за спецвикористання природних ресурсів</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-135,6</w:t>
            </w:r>
          </w:p>
          <w:p>
            <w:pPr>
              <w:pStyle w:val="Normal"/>
              <w:jc w:val="end"/>
              <w:rPr>
                <w:rFonts w:ascii="Times New Roman" w:hAnsi="Times New Roman" w:eastAsia="Century Gothic" w:cs="Century Gothic"/>
                <w:sz w:val="28"/>
                <w:szCs w:val="28"/>
                <w:shd w:fill="FFFF00" w:val="clear"/>
              </w:rPr>
            </w:pPr>
            <w:r>
              <w:rPr>
                <w:rFonts w:eastAsia="Century Gothic" w:cs="Century Gothic" w:ascii="Times New Roman" w:hAnsi="Times New Roman"/>
                <w:sz w:val="28"/>
                <w:szCs w:val="28"/>
                <w:shd w:fill="FFFF00" w:val="clear"/>
              </w:rPr>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0,7</w:t>
            </w:r>
          </w:p>
          <w:p>
            <w:pPr>
              <w:pStyle w:val="Normal"/>
              <w:jc w:val="end"/>
              <w:rPr>
                <w:rFonts w:ascii="Times New Roman" w:hAnsi="Times New Roman" w:eastAsia="Century Gothic" w:cs="Century Gothic"/>
                <w:sz w:val="28"/>
                <w:szCs w:val="28"/>
                <w:shd w:fill="FFFF00" w:val="clear"/>
              </w:rPr>
            </w:pPr>
            <w:r>
              <w:rPr>
                <w:rFonts w:eastAsia="Century Gothic" w:cs="Century Gothic" w:ascii="Times New Roman" w:hAnsi="Times New Roman"/>
                <w:sz w:val="28"/>
                <w:szCs w:val="28"/>
                <w:shd w:fill="FFFF00" w:val="clear"/>
              </w:rPr>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0</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Акцизний податок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5546,3</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8574,9</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12563,8</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Податок на нерухоме майно, відмінне</w:t>
            </w:r>
          </w:p>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від земельної ділянки</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9681,4</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15483,9</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16528</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Плата за землю</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84484,2</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97135,5</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102439,2</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Транспортний податок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0</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102,1</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172,9</w:t>
            </w:r>
          </w:p>
        </w:tc>
      </w:tr>
      <w:tr>
        <w:trPr/>
        <w:tc>
          <w:tcPr>
            <w:tcW w:w="4997" w:type="dxa"/>
            <w:tcBorders>
              <w:start w:val="single" w:sz="4" w:space="0" w:color="000000"/>
              <w:bottom w:val="single" w:sz="4" w:space="0" w:color="000000"/>
            </w:tcBorders>
          </w:tcPr>
          <w:p>
            <w:pPr>
              <w:pStyle w:val="Style20"/>
              <w:jc w:val="both"/>
              <w:rPr>
                <w:rFonts w:ascii="Times New Roman" w:hAnsi="Times New Roman" w:eastAsia="Century Gothic" w:cs="Century Gothic"/>
                <w:sz w:val="28"/>
                <w:szCs w:val="28"/>
              </w:rPr>
            </w:pPr>
            <w:r>
              <w:rPr>
                <w:rFonts w:eastAsia="Century Gothic" w:cs="Century Gothic" w:ascii="Times New Roman" w:hAnsi="Times New Roman"/>
                <w:sz w:val="28"/>
                <w:szCs w:val="28"/>
              </w:rPr>
              <w:t>Єдиний податок</w:t>
            </w:r>
          </w:p>
        </w:tc>
        <w:tc>
          <w:tcPr>
            <w:tcW w:w="1419"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20759,2</w:t>
            </w:r>
          </w:p>
        </w:tc>
        <w:tc>
          <w:tcPr>
            <w:tcW w:w="1493" w:type="dxa"/>
            <w:tcBorders>
              <w:start w:val="single" w:sz="4" w:space="0" w:color="000000"/>
              <w:bottom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29344,8</w:t>
            </w:r>
          </w:p>
        </w:tc>
        <w:tc>
          <w:tcPr>
            <w:tcW w:w="1446" w:type="dxa"/>
            <w:tcBorders>
              <w:start w:val="single" w:sz="4" w:space="0" w:color="000000"/>
              <w:bottom w:val="single" w:sz="4" w:space="0" w:color="000000"/>
              <w:end w:val="single" w:sz="4" w:space="0" w:color="000000"/>
            </w:tcBorders>
          </w:tcPr>
          <w:p>
            <w:pPr>
              <w:pStyle w:val="Style20"/>
              <w:jc w:val="end"/>
              <w:rPr>
                <w:rFonts w:ascii="Times New Roman" w:hAnsi="Times New Roman" w:eastAsia="Century Gothic" w:cs="Century Gothic"/>
                <w:sz w:val="28"/>
                <w:szCs w:val="28"/>
                <w:shd w:fill="auto" w:val="clear"/>
              </w:rPr>
            </w:pPr>
            <w:r>
              <w:rPr>
                <w:rFonts w:eastAsia="Century Gothic" w:cs="Century Gothic" w:ascii="Times New Roman" w:hAnsi="Times New Roman"/>
                <w:sz w:val="28"/>
                <w:szCs w:val="28"/>
                <w:shd w:fill="auto" w:val="clear"/>
              </w:rPr>
              <w:t>36838,2</w:t>
            </w:r>
          </w:p>
        </w:tc>
      </w:tr>
    </w:tbl>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t xml:space="preserve">Для бюджету </w:t>
      </w:r>
      <w:r>
        <w:rPr>
          <w:rFonts w:eastAsia="Century Gothic" w:cs="Century Gothic" w:ascii="Times New Roman" w:hAnsi="Times New Roman"/>
          <w:color w:val="000000"/>
          <w:kern w:val="0"/>
          <w:sz w:val="28"/>
          <w:szCs w:val="28"/>
          <w:lang w:eastAsia="uk-UA"/>
        </w:rPr>
        <w:t>Покровської міської територіальної громади</w:t>
      </w:r>
      <w:r>
        <w:rPr>
          <w:rFonts w:eastAsia="Century Gothic" w:cs="Century Gothic" w:ascii="Times New Roman" w:hAnsi="Times New Roman"/>
          <w:color w:val="000000"/>
          <w:kern w:val="0"/>
          <w:sz w:val="28"/>
          <w:szCs w:val="28"/>
          <w:lang w:eastAsia="uk-UA"/>
        </w:rPr>
        <w:t xml:space="preserve"> вагоме значення мають доходи від місцевих податків і зборів. У </w:t>
      </w:r>
      <w:r>
        <w:rPr>
          <w:rFonts w:eastAsia="Century Gothic" w:cs="Century Gothic" w:ascii="Times New Roman" w:hAnsi="Times New Roman"/>
          <w:color w:val="000000"/>
          <w:kern w:val="0"/>
          <w:sz w:val="28"/>
          <w:szCs w:val="28"/>
          <w:lang w:eastAsia="uk-UA"/>
        </w:rPr>
        <w:t>Покровській</w:t>
      </w:r>
      <w:r>
        <w:rPr>
          <w:rFonts w:eastAsia="Century Gothic" w:cs="Century Gothic" w:ascii="Times New Roman" w:hAnsi="Times New Roman"/>
          <w:color w:val="000000"/>
          <w:kern w:val="0"/>
          <w:sz w:val="28"/>
          <w:szCs w:val="28"/>
          <w:lang w:eastAsia="uk-UA"/>
        </w:rPr>
        <w:t xml:space="preserve"> громаді с</w:t>
      </w:r>
      <w:r>
        <w:rPr>
          <w:rFonts w:eastAsia="Century Gothic" w:cs="Century Gothic" w:ascii="Times New Roman" w:hAnsi="Times New Roman"/>
          <w:color w:val="000000"/>
          <w:kern w:val="0"/>
          <w:sz w:val="28"/>
          <w:szCs w:val="28"/>
          <w:lang w:eastAsia="uk-UA"/>
        </w:rPr>
        <w:t>плачують</w:t>
      </w:r>
      <w:r>
        <w:rPr>
          <w:rFonts w:eastAsia="Century Gothic" w:cs="Century Gothic" w:ascii="Times New Roman" w:hAnsi="Times New Roman"/>
          <w:color w:val="000000"/>
          <w:kern w:val="0"/>
          <w:sz w:val="28"/>
          <w:szCs w:val="28"/>
          <w:lang w:eastAsia="uk-UA"/>
        </w:rPr>
        <w:t xml:space="preserve"> наступні місцеві податки: податок на нерухоме майно, відмінне від земельної ділянки; плата за землю; </w:t>
      </w:r>
      <w:r>
        <w:rPr>
          <w:rFonts w:eastAsia="Century Gothic" w:cs="Century Gothic" w:ascii="Times New Roman" w:hAnsi="Times New Roman"/>
          <w:color w:val="000000"/>
          <w:kern w:val="0"/>
          <w:sz w:val="28"/>
          <w:szCs w:val="28"/>
          <w:lang w:eastAsia="uk-UA"/>
        </w:rPr>
        <w:t>транспортний податок;</w:t>
      </w:r>
      <w:r>
        <w:rPr>
          <w:rFonts w:eastAsia="Century Gothic" w:cs="Century Gothic" w:ascii="Times New Roman" w:hAnsi="Times New Roman"/>
          <w:color w:val="000000"/>
          <w:kern w:val="0"/>
          <w:sz w:val="28"/>
          <w:szCs w:val="28"/>
          <w:lang w:eastAsia="uk-UA"/>
        </w:rPr>
        <w:t xml:space="preserve"> єдиний податок. О</w:t>
      </w:r>
      <w:r>
        <w:rPr>
          <w:rFonts w:eastAsia="Century Gothic" w:cs="Century Gothic" w:ascii="Times New Roman" w:hAnsi="Times New Roman"/>
          <w:color w:val="000000"/>
          <w:kern w:val="0"/>
          <w:sz w:val="28"/>
          <w:szCs w:val="28"/>
          <w:lang w:eastAsia="uk-UA"/>
        </w:rPr>
        <w:t>ргани місцевого самоврядування</w:t>
      </w:r>
      <w:r>
        <w:rPr>
          <w:rFonts w:eastAsia="Century Gothic" w:cs="Century Gothic" w:ascii="Times New Roman" w:hAnsi="Times New Roman"/>
          <w:color w:val="000000"/>
          <w:kern w:val="0"/>
          <w:sz w:val="28"/>
          <w:szCs w:val="28"/>
          <w:lang w:eastAsia="uk-UA"/>
        </w:rPr>
        <w:t xml:space="preserve"> у межах своєї компетенції встановили ставки та пільги щодо сплати місцевих податків.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У 202</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році відбулося </w:t>
      </w:r>
      <w:r>
        <w:rPr>
          <w:rFonts w:eastAsia="Century Gothic" w:cs="Century Gothic" w:ascii="Times New Roman" w:hAnsi="Times New Roman"/>
          <w:color w:val="000000"/>
          <w:kern w:val="0"/>
          <w:sz w:val="28"/>
          <w:szCs w:val="28"/>
          <w:shd w:fill="auto" w:val="clear"/>
          <w:lang w:eastAsia="uk-UA"/>
        </w:rPr>
        <w:t>з</w:t>
      </w:r>
      <w:r>
        <w:rPr>
          <w:rFonts w:eastAsia="Century Gothic" w:cs="Century Gothic" w:ascii="Times New Roman" w:hAnsi="Times New Roman"/>
          <w:color w:val="000000"/>
          <w:kern w:val="0"/>
          <w:sz w:val="28"/>
          <w:szCs w:val="28"/>
          <w:shd w:fill="auto" w:val="clear"/>
          <w:lang w:eastAsia="uk-UA"/>
        </w:rPr>
        <w:t>ростання доходів від акцизного податку (</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3988</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9</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грн.); податку на нерухоме майно, відмінне від земельної ділянки (+</w:t>
      </w:r>
      <w:r>
        <w:rPr>
          <w:rFonts w:eastAsia="Century Gothic" w:cs="Century Gothic" w:ascii="Times New Roman" w:hAnsi="Times New Roman"/>
          <w:color w:val="000000"/>
          <w:kern w:val="0"/>
          <w:sz w:val="28"/>
          <w:szCs w:val="28"/>
          <w:shd w:fill="auto" w:val="clear"/>
          <w:lang w:eastAsia="uk-UA"/>
        </w:rPr>
        <w:t>1</w:t>
      </w:r>
      <w:r>
        <w:rPr>
          <w:rFonts w:eastAsia="Century Gothic" w:cs="Century Gothic" w:ascii="Times New Roman" w:hAnsi="Times New Roman"/>
          <w:color w:val="000000"/>
          <w:kern w:val="0"/>
          <w:sz w:val="28"/>
          <w:szCs w:val="28"/>
          <w:shd w:fill="auto" w:val="clear"/>
          <w:lang w:eastAsia="uk-UA"/>
        </w:rPr>
        <w:t>044</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1</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грн.</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 xml:space="preserve"> плати за землю (</w:t>
      </w:r>
      <w:r>
        <w:rPr>
          <w:rFonts w:eastAsia="Century Gothic" w:cs="Century Gothic" w:ascii="Times New Roman" w:hAnsi="Times New Roman"/>
          <w:color w:val="000000"/>
          <w:kern w:val="0"/>
          <w:sz w:val="28"/>
          <w:szCs w:val="28"/>
          <w:shd w:fill="auto" w:val="clear"/>
          <w:lang w:eastAsia="uk-UA"/>
        </w:rPr>
        <w:t>5303</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7</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xml:space="preserve"> грн.); </w:t>
      </w:r>
      <w:r>
        <w:rPr>
          <w:rFonts w:eastAsia="Century Gothic" w:cs="Century Gothic" w:ascii="Times New Roman" w:hAnsi="Times New Roman"/>
          <w:color w:val="000000"/>
          <w:kern w:val="0"/>
          <w:sz w:val="28"/>
          <w:szCs w:val="28"/>
          <w:shd w:fill="auto" w:val="clear"/>
          <w:lang w:eastAsia="uk-UA"/>
        </w:rPr>
        <w:t xml:space="preserve">транспортного податку (70,8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xml:space="preserve"> грн.); </w:t>
      </w:r>
      <w:r>
        <w:rPr>
          <w:rFonts w:eastAsia="Century Gothic" w:cs="Century Gothic" w:ascii="Times New Roman" w:hAnsi="Times New Roman"/>
          <w:color w:val="000000"/>
          <w:kern w:val="0"/>
          <w:sz w:val="28"/>
          <w:szCs w:val="28"/>
          <w:shd w:fill="auto" w:val="clear"/>
          <w:lang w:eastAsia="uk-UA"/>
        </w:rPr>
        <w:t>єдиного податку (+</w:t>
      </w:r>
      <w:r>
        <w:rPr>
          <w:rFonts w:eastAsia="Century Gothic" w:cs="Century Gothic" w:ascii="Times New Roman" w:hAnsi="Times New Roman"/>
          <w:color w:val="000000"/>
          <w:kern w:val="0"/>
          <w:sz w:val="28"/>
          <w:szCs w:val="28"/>
          <w:shd w:fill="auto" w:val="clear"/>
          <w:lang w:eastAsia="uk-UA"/>
        </w:rPr>
        <w:t>7493</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4</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грн.).</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Водночас відбувалося суттєве падіння обсягів доходів від сплати ПДФО (-</w:t>
      </w:r>
      <w:r>
        <w:rPr>
          <w:rFonts w:eastAsia="Century Gothic" w:cs="Century Gothic" w:ascii="Times New Roman" w:hAnsi="Times New Roman"/>
          <w:color w:val="000000"/>
          <w:kern w:val="0"/>
          <w:sz w:val="28"/>
          <w:szCs w:val="28"/>
          <w:shd w:fill="auto" w:val="clear"/>
          <w:lang w:eastAsia="uk-UA"/>
        </w:rPr>
        <w:t>59</w:t>
      </w:r>
      <w:r>
        <w:rPr>
          <w:rFonts w:eastAsia="Century Gothic" w:cs="Century Gothic" w:ascii="Times New Roman" w:hAnsi="Times New Roman"/>
          <w:color w:val="000000"/>
          <w:kern w:val="0"/>
          <w:sz w:val="28"/>
          <w:szCs w:val="28"/>
          <w:shd w:fill="auto" w:val="clear"/>
          <w:lang w:eastAsia="uk-UA"/>
        </w:rPr>
        <w:t>524</w:t>
      </w:r>
      <w:r>
        <w:rPr>
          <w:rFonts w:eastAsia="Century Gothic" w:cs="Century Gothic" w:ascii="Times New Roman" w:hAnsi="Times New Roman"/>
          <w:color w:val="000000"/>
          <w:kern w:val="0"/>
          <w:sz w:val="28"/>
          <w:szCs w:val="28"/>
          <w:shd w:fill="auto" w:val="clear"/>
          <w:lang w:eastAsia="uk-UA"/>
        </w:rPr>
        <w:t>,</w:t>
      </w:r>
      <w:r>
        <w:rPr>
          <w:rFonts w:eastAsia="Century Gothic" w:cs="Century Gothic" w:ascii="Times New Roman" w:hAnsi="Times New Roman"/>
          <w:color w:val="000000"/>
          <w:kern w:val="0"/>
          <w:sz w:val="28"/>
          <w:szCs w:val="28"/>
          <w:shd w:fill="auto" w:val="clear"/>
          <w:lang w:eastAsia="uk-UA"/>
        </w:rPr>
        <w:t>02</w:t>
      </w: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тис</w:t>
      </w:r>
      <w:r>
        <w:rPr>
          <w:rFonts w:eastAsia="Century Gothic" w:cs="Century Gothic" w:ascii="Times New Roman" w:hAnsi="Times New Roman"/>
          <w:color w:val="000000"/>
          <w:kern w:val="0"/>
          <w:sz w:val="28"/>
          <w:szCs w:val="28"/>
          <w:shd w:fill="auto" w:val="clear"/>
          <w:lang w:eastAsia="uk-UA"/>
        </w:rPr>
        <w:t xml:space="preserve">. грн), що зумовлено </w:t>
      </w:r>
      <w:r>
        <w:rPr>
          <w:rFonts w:eastAsia="Century Gothic" w:cs="Century Gothic" w:ascii="Times New Roman" w:hAnsi="Times New Roman"/>
          <w:color w:val="000000"/>
          <w:kern w:val="0"/>
          <w:sz w:val="28"/>
          <w:szCs w:val="28"/>
          <w:shd w:fill="auto" w:val="clear"/>
          <w:lang w:val="uk-UA" w:eastAsia="uk-UA"/>
        </w:rPr>
        <w:t>зниження</w:t>
      </w:r>
      <w:r>
        <w:rPr>
          <w:rFonts w:eastAsia="Century Gothic" w:cs="Century Gothic" w:ascii="Times New Roman" w:hAnsi="Times New Roman"/>
          <w:color w:val="000000"/>
          <w:kern w:val="0"/>
          <w:sz w:val="28"/>
          <w:szCs w:val="28"/>
          <w:shd w:fill="auto" w:val="clear"/>
          <w:lang w:val="uk-UA" w:eastAsia="uk-UA"/>
        </w:rPr>
        <w:t>м</w:t>
      </w:r>
      <w:r>
        <w:rPr>
          <w:rFonts w:eastAsia="Century Gothic" w:cs="Century Gothic" w:ascii="Times New Roman" w:hAnsi="Times New Roman"/>
          <w:color w:val="000000"/>
          <w:kern w:val="0"/>
          <w:sz w:val="28"/>
          <w:szCs w:val="28"/>
          <w:shd w:fill="auto" w:val="clear"/>
          <w:lang w:val="uk-UA" w:eastAsia="uk-UA"/>
        </w:rPr>
        <w:t xml:space="preserve"> економічної активності підприємств </w:t>
      </w:r>
      <w:r>
        <w:rPr>
          <w:rFonts w:eastAsia="Century Gothic" w:cs="Century Gothic" w:ascii="Times New Roman" w:hAnsi="Times New Roman"/>
          <w:color w:val="000000"/>
          <w:kern w:val="0"/>
          <w:sz w:val="28"/>
          <w:szCs w:val="28"/>
          <w:shd w:fill="auto" w:val="clear"/>
          <w:lang w:val="uk-UA" w:eastAsia="uk-UA"/>
        </w:rPr>
        <w:t>у зв'язку із в</w:t>
      </w:r>
      <w:r>
        <w:rPr>
          <w:rFonts w:eastAsia="Century Gothic" w:cs="Century Gothic" w:ascii="Times New Roman" w:hAnsi="Times New Roman"/>
          <w:color w:val="000000"/>
          <w:kern w:val="0"/>
          <w:sz w:val="28"/>
          <w:szCs w:val="28"/>
          <w:shd w:fill="auto" w:val="clear"/>
          <w:lang w:val="uk-UA" w:eastAsia="uk-UA"/>
        </w:rPr>
        <w:t>оєнн</w:t>
      </w:r>
      <w:r>
        <w:rPr>
          <w:rFonts w:eastAsia="Century Gothic" w:cs="Century Gothic" w:ascii="Times New Roman" w:hAnsi="Times New Roman"/>
          <w:color w:val="000000"/>
          <w:kern w:val="0"/>
          <w:sz w:val="28"/>
          <w:szCs w:val="28"/>
          <w:shd w:fill="auto" w:val="clear"/>
          <w:lang w:val="uk-UA" w:eastAsia="uk-UA"/>
        </w:rPr>
        <w:t>ими</w:t>
      </w:r>
      <w:r>
        <w:rPr>
          <w:rFonts w:eastAsia="Century Gothic" w:cs="Century Gothic" w:ascii="Times New Roman" w:hAnsi="Times New Roman"/>
          <w:color w:val="000000"/>
          <w:kern w:val="0"/>
          <w:sz w:val="28"/>
          <w:szCs w:val="28"/>
          <w:shd w:fill="auto" w:val="clear"/>
          <w:lang w:val="uk-UA" w:eastAsia="uk-UA"/>
        </w:rPr>
        <w:t xml:space="preserve"> ді</w:t>
      </w:r>
      <w:r>
        <w:rPr>
          <w:rFonts w:eastAsia="Century Gothic" w:cs="Century Gothic" w:ascii="Times New Roman" w:hAnsi="Times New Roman"/>
          <w:color w:val="000000"/>
          <w:kern w:val="0"/>
          <w:sz w:val="28"/>
          <w:szCs w:val="28"/>
          <w:shd w:fill="auto" w:val="clear"/>
          <w:lang w:val="uk-UA" w:eastAsia="uk-UA"/>
        </w:rPr>
        <w:t>ями</w:t>
      </w:r>
      <w:r>
        <w:rPr>
          <w:rFonts w:eastAsia="Century Gothic" w:cs="Century Gothic" w:ascii="Times New Roman" w:hAnsi="Times New Roman"/>
          <w:color w:val="000000"/>
          <w:kern w:val="0"/>
          <w:sz w:val="28"/>
          <w:szCs w:val="28"/>
          <w:shd w:fill="auto" w:val="clear"/>
          <w:lang w:val="uk-UA" w:eastAsia="uk-UA"/>
        </w:rPr>
        <w:t xml:space="preserve"> на території України.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shd w:fill="FFFFFF" w:val="clear"/>
        <w:spacing w:lineRule="auto" w:line="276" w:before="0" w:after="0"/>
        <w:jc w:val="center"/>
        <w:rPr>
          <w:rFonts w:ascii="Times New Roman" w:hAnsi="Times New Roman"/>
          <w:sz w:val="28"/>
          <w:szCs w:val="28"/>
        </w:rPr>
      </w:pPr>
      <w:r>
        <w:rPr>
          <w:rFonts w:ascii="Times New Roman" w:hAnsi="Times New Roman"/>
          <w:b/>
          <w:bCs/>
          <w:sz w:val="28"/>
          <w:szCs w:val="28"/>
        </w:rPr>
        <w:t>Динаміка</w:t>
      </w:r>
      <w:r>
        <w:rPr>
          <w:rFonts w:ascii="Times New Roman" w:hAnsi="Times New Roman"/>
          <w:b/>
          <w:bCs/>
          <w:sz w:val="28"/>
          <w:szCs w:val="28"/>
        </w:rPr>
        <w:t xml:space="preserve"> </w:t>
      </w:r>
      <w:r>
        <w:rPr>
          <w:rFonts w:ascii="Times New Roman" w:hAnsi="Times New Roman"/>
          <w:b/>
          <w:bCs/>
          <w:sz w:val="28"/>
          <w:szCs w:val="28"/>
        </w:rPr>
        <w:t>видатків</w:t>
      </w:r>
      <w:r>
        <w:rPr>
          <w:rFonts w:ascii="Times New Roman" w:hAnsi="Times New Roman"/>
          <w:b/>
          <w:bCs/>
          <w:sz w:val="28"/>
          <w:szCs w:val="28"/>
        </w:rPr>
        <w:t xml:space="preserve"> загального фонду бюджету </w:t>
      </w:r>
      <w:r>
        <w:rPr>
          <w:rFonts w:ascii="Times New Roman" w:hAnsi="Times New Roman"/>
          <w:b/>
          <w:bCs/>
          <w:sz w:val="28"/>
          <w:szCs w:val="28"/>
        </w:rPr>
        <w:t>Покровської міської територіальної громади</w:t>
      </w:r>
      <w:r>
        <w:rPr>
          <w:rFonts w:ascii="Times New Roman" w:hAnsi="Times New Roman"/>
          <w:b/>
          <w:bCs/>
          <w:sz w:val="28"/>
          <w:szCs w:val="28"/>
        </w:rPr>
        <w:t>, тис. грн.</w:t>
      </w:r>
      <w:r>
        <w:rPr>
          <w:rFonts w:ascii="Times New Roman" w:hAnsi="Times New Roman"/>
          <w:b/>
          <w:color w:val="000000"/>
          <w:sz w:val="28"/>
          <w:szCs w:val="28"/>
        </w:rPr>
        <w:drawing>
          <wp:inline distT="0" distB="0" distL="0" distR="0">
            <wp:extent cx="4041140" cy="2163445"/>
            <wp:effectExtent l="0" t="0" r="0" b="0"/>
            <wp:docPr id="15" name="Діаграма 1296757879"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Heading2"/>
        <w:spacing w:before="0" w:after="80"/>
        <w:jc w:val="center"/>
        <w:rPr>
          <w:rFonts w:ascii="Times New Roman" w:hAnsi="Times New Roman"/>
          <w:b/>
          <w:color w:val="000000"/>
          <w:sz w:val="28"/>
          <w:szCs w:val="28"/>
        </w:rPr>
      </w:pPr>
      <w:r>
        <w:rPr>
          <w:rFonts w:ascii="Times New Roman" w:hAnsi="Times New Roman"/>
          <w:b/>
          <w:color w:val="000000"/>
          <w:sz w:val="28"/>
          <w:szCs w:val="28"/>
        </w:rPr>
      </w:r>
    </w:p>
    <w:p>
      <w:pPr>
        <w:pStyle w:val="Normal"/>
        <w:shd w:fill="FFFFFF" w:val="clear"/>
        <w:spacing w:lineRule="auto" w:line="276" w:before="0" w:after="200"/>
        <w:jc w:val="center"/>
        <w:rPr>
          <w:rFonts w:ascii="Times New Roman" w:hAnsi="Times New Roman"/>
          <w:b/>
          <w:sz w:val="28"/>
          <w:szCs w:val="28"/>
        </w:rPr>
      </w:pPr>
      <w:r>
        <w:rPr>
          <w:rFonts w:ascii="Times New Roman" w:hAnsi="Times New Roman"/>
          <w:b/>
          <w:bCs/>
          <w:sz w:val="28"/>
          <w:szCs w:val="28"/>
        </w:rPr>
        <w:t>Динаміка</w:t>
      </w:r>
      <w:r>
        <w:rPr>
          <w:rFonts w:ascii="Times New Roman" w:hAnsi="Times New Roman"/>
          <w:b/>
          <w:bCs/>
          <w:sz w:val="28"/>
          <w:szCs w:val="28"/>
        </w:rPr>
        <w:t xml:space="preserve"> </w:t>
      </w:r>
      <w:r>
        <w:rPr>
          <w:rFonts w:ascii="Times New Roman" w:hAnsi="Times New Roman"/>
          <w:b/>
          <w:bCs/>
          <w:sz w:val="28"/>
          <w:szCs w:val="28"/>
        </w:rPr>
        <w:t>видатків</w:t>
      </w:r>
      <w:r>
        <w:rPr>
          <w:rFonts w:ascii="Times New Roman" w:hAnsi="Times New Roman"/>
          <w:b/>
          <w:bCs/>
          <w:sz w:val="28"/>
          <w:szCs w:val="28"/>
        </w:rPr>
        <w:t xml:space="preserve"> </w:t>
      </w:r>
      <w:r>
        <w:rPr>
          <w:rFonts w:ascii="Times New Roman" w:hAnsi="Times New Roman"/>
          <w:b/>
          <w:bCs/>
          <w:sz w:val="28"/>
          <w:szCs w:val="28"/>
        </w:rPr>
        <w:t>спеціального</w:t>
      </w:r>
      <w:r>
        <w:rPr>
          <w:rFonts w:ascii="Times New Roman" w:hAnsi="Times New Roman"/>
          <w:b/>
          <w:bCs/>
          <w:sz w:val="28"/>
          <w:szCs w:val="28"/>
        </w:rPr>
        <w:t xml:space="preserve"> фонду бюджету </w:t>
      </w:r>
      <w:r>
        <w:rPr>
          <w:rFonts w:ascii="Times New Roman" w:hAnsi="Times New Roman"/>
          <w:b/>
          <w:bCs/>
          <w:sz w:val="28"/>
          <w:szCs w:val="28"/>
        </w:rPr>
        <w:t>Покровської міської територіальної громади</w:t>
      </w:r>
      <w:r>
        <w:rPr>
          <w:rFonts w:ascii="Times New Roman" w:hAnsi="Times New Roman"/>
          <w:b/>
          <w:bCs/>
          <w:sz w:val="28"/>
          <w:szCs w:val="28"/>
        </w:rPr>
        <w:t>, тис. грн.</w:t>
      </w:r>
      <w:r>
        <w:rPr>
          <w:rFonts w:ascii="Times New Roman" w:hAnsi="Times New Roman"/>
          <w:b/>
          <w:color w:val="000000"/>
          <w:sz w:val="28"/>
          <w:szCs w:val="28"/>
        </w:rPr>
        <w:drawing>
          <wp:inline distT="0" distB="0" distL="0" distR="0">
            <wp:extent cx="4341495" cy="2214245"/>
            <wp:effectExtent l="0" t="0" r="0" b="0"/>
            <wp:docPr id="16" name="Діаграма 7777106"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Normal"/>
        <w:spacing w:before="0" w:after="0"/>
        <w:ind w:firstLine="567"/>
        <w:jc w:val="center"/>
        <w:rPr>
          <w:lang w:val="uk-UA"/>
        </w:rPr>
      </w:pPr>
      <w:r>
        <w:rPr/>
      </w:r>
    </w:p>
    <w:p>
      <w:pPr>
        <w:pStyle w:val="Normal"/>
        <w:spacing w:before="0" w:after="0"/>
        <w:ind w:firstLine="567"/>
        <w:jc w:val="center"/>
        <w:rPr>
          <w:lang w:val="uk-UA"/>
        </w:rPr>
      </w:pPr>
      <w:r>
        <w:rPr>
          <w:rFonts w:eastAsia="Century Gothic" w:cs="Century Gothic" w:ascii="Times New Roman" w:hAnsi="Times New Roman"/>
          <w:b/>
          <w:bCs/>
          <w:color w:val="000000"/>
          <w:kern w:val="0"/>
          <w:sz w:val="28"/>
          <w:szCs w:val="28"/>
          <w:shd w:fill="auto" w:val="clear"/>
          <w:lang w:val="uk-UA" w:eastAsia="uk-UA"/>
        </w:rPr>
        <w:t>5.2. Оцінка фінансових потреб на виконання МЕП</w:t>
      </w:r>
    </w:p>
    <w:p>
      <w:pPr>
        <w:pStyle w:val="Normal"/>
        <w:spacing w:before="0" w:after="0"/>
        <w:ind w:firstLine="567"/>
        <w:jc w:val="both"/>
        <w:rPr>
          <w:lang w:val="uk-UA"/>
        </w:rPr>
      </w:pPr>
      <w:r>
        <w:rPr>
          <w:shd w:fill="auto" w:val="clear"/>
        </w:rPr>
      </w:r>
    </w:p>
    <w:p>
      <w:pPr>
        <w:pStyle w:val="Normal"/>
        <w:spacing w:before="0" w:after="0"/>
        <w:jc w:val="center"/>
        <w:rPr>
          <w:lang w:val="uk-UA"/>
        </w:rPr>
      </w:pPr>
      <w:r>
        <w:rPr>
          <w:rFonts w:eastAsia="Times New Roman" w:cs="Times New Roman" w:ascii="Times New Roman" w:hAnsi="Times New Roman"/>
          <w:b/>
          <w:bCs/>
          <w:sz w:val="28"/>
          <w:szCs w:val="28"/>
          <w:shd w:fill="auto" w:val="clear"/>
          <w:lang w:val="uk-UA"/>
        </w:rPr>
        <w:t xml:space="preserve">Обсяг необхідних інвестицій для впровадження </w:t>
        <w:br/>
        <w:t xml:space="preserve">заходів для покращення енергоефективності та розвитку ВДЕ у </w:t>
      </w:r>
      <w:r>
        <w:rPr>
          <w:rFonts w:eastAsia="Times New Roman" w:cs="Times New Roman" w:ascii="Times New Roman" w:hAnsi="Times New Roman"/>
          <w:b/>
          <w:bCs/>
          <w:sz w:val="28"/>
          <w:szCs w:val="28"/>
          <w:shd w:fill="auto" w:val="clear"/>
          <w:lang w:val="uk-UA"/>
        </w:rPr>
        <w:t>Покровській</w:t>
      </w:r>
      <w:r>
        <w:rPr>
          <w:rFonts w:eastAsia="Times New Roman" w:cs="Times New Roman" w:ascii="Times New Roman" w:hAnsi="Times New Roman"/>
          <w:b/>
          <w:bCs/>
          <w:sz w:val="28"/>
          <w:szCs w:val="28"/>
          <w:shd w:fill="auto" w:val="clear"/>
          <w:lang w:val="uk-UA"/>
        </w:rPr>
        <w:t xml:space="preserve"> МТГ </w:t>
      </w:r>
    </w:p>
    <w:tbl>
      <w:tblPr>
        <w:tblW w:w="9492" w:type="dxa"/>
        <w:jc w:val="center"/>
        <w:tblInd w:w="0" w:type="dxa"/>
        <w:tblLayout w:type="fixed"/>
        <w:tblCellMar>
          <w:top w:w="0" w:type="dxa"/>
          <w:start w:w="115" w:type="dxa"/>
          <w:bottom w:w="0" w:type="dxa"/>
          <w:end w:w="115" w:type="dxa"/>
        </w:tblCellMar>
      </w:tblPr>
      <w:tblGrid>
        <w:gridCol w:w="5945"/>
        <w:gridCol w:w="3547"/>
      </w:tblGrid>
      <w:tr>
        <w:trPr/>
        <w:tc>
          <w:tcPr>
            <w:tcW w:w="594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40" w:before="0" w:after="0"/>
              <w:jc w:val="center"/>
              <w:rPr>
                <w:lang w:val="uk-UA"/>
              </w:rPr>
            </w:pPr>
            <w:r>
              <w:rPr>
                <w:rFonts w:eastAsia="Times New Roman" w:cs="Times New Roman" w:ascii="Times New Roman" w:hAnsi="Times New Roman"/>
                <w:color w:val="000000"/>
                <w:kern w:val="0"/>
                <w:sz w:val="28"/>
                <w:szCs w:val="28"/>
                <w:shd w:fill="auto" w:val="clear"/>
                <w:lang w:val="uk-UA" w:eastAsia="uk-UA" w:bidi="ar-SA"/>
              </w:rPr>
              <w:t>Сектори</w:t>
            </w:r>
          </w:p>
        </w:tc>
        <w:tc>
          <w:tcPr>
            <w:tcW w:w="354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lang w:val="uk-UA"/>
              </w:rPr>
            </w:pPr>
            <w:r>
              <w:rPr>
                <w:rFonts w:eastAsia="Times New Roman" w:cs="Times New Roman" w:ascii="Times New Roman" w:hAnsi="Times New Roman"/>
                <w:color w:val="000000"/>
                <w:kern w:val="0"/>
                <w:sz w:val="28"/>
                <w:szCs w:val="28"/>
                <w:shd w:fill="auto" w:val="clear"/>
                <w:lang w:val="uk-UA" w:eastAsia="uk-UA" w:bidi="ar-SA"/>
              </w:rPr>
              <w:t xml:space="preserve">Загальна вартість інвестицій, </w:t>
              <w:br/>
              <w:t>млн грн</w:t>
            </w:r>
          </w:p>
        </w:tc>
      </w:tr>
      <w:tr>
        <w:trPr/>
        <w:tc>
          <w:tcPr>
            <w:tcW w:w="9492" w:type="dxa"/>
            <w:gridSpan w:val="2"/>
            <w:tcBorders>
              <w:top w:val="single" w:sz="4" w:space="0" w:color="000000"/>
              <w:start w:val="single" w:sz="4" w:space="0" w:color="000000"/>
              <w:bottom w:val="single" w:sz="4" w:space="0" w:color="000000"/>
              <w:end w:val="single" w:sz="4" w:space="0" w:color="000000"/>
            </w:tcBorders>
            <w:shd w:fill="FFFFFF" w:val="clea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color w:val="000000"/>
                <w:kern w:val="0"/>
                <w:sz w:val="28"/>
                <w:szCs w:val="28"/>
                <w:shd w:fill="auto" w:val="clear"/>
                <w:lang w:val="uk-UA" w:eastAsia="uk-UA" w:bidi="ar-SA"/>
              </w:rPr>
              <w:t>Обов'язкові сектори</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Громадські будівлі</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2080</w:t>
            </w:r>
            <w:r>
              <w:rPr>
                <w:rFonts w:eastAsia="Times New Roman" w:cs="Times New Roman" w:ascii="Times New Roman" w:hAnsi="Times New Roman"/>
                <w:kern w:val="0"/>
                <w:sz w:val="28"/>
                <w:szCs w:val="28"/>
                <w:shd w:fill="auto" w:val="clear"/>
                <w:lang w:val="uk-UA" w:eastAsia="uk-UA" w:bidi="ar-SA"/>
              </w:rPr>
              <w:t>,</w:t>
            </w:r>
            <w:r>
              <w:rPr>
                <w:rFonts w:eastAsia="Times New Roman" w:cs="Times New Roman" w:ascii="Times New Roman" w:hAnsi="Times New Roman"/>
                <w:kern w:val="0"/>
                <w:sz w:val="28"/>
                <w:szCs w:val="28"/>
                <w:shd w:fill="auto" w:val="clear"/>
                <w:lang w:val="uk-UA" w:eastAsia="uk-UA" w:bidi="ar-SA"/>
              </w:rPr>
              <w:t>2</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Сфера водопостачання і водовідведення</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14,4</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Зовнішнє освітлення</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10,0</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Житлові будівлі</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6240</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Сфера теплопостачання</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34,0</w:t>
            </w:r>
          </w:p>
        </w:tc>
      </w:tr>
      <w:tr>
        <w:trPr/>
        <w:tc>
          <w:tcPr>
            <w:tcW w:w="59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Сфера управління побутовими відходами</w:t>
            </w:r>
          </w:p>
        </w:tc>
        <w:tc>
          <w:tcPr>
            <w:tcW w:w="3547"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8"/>
                <w:szCs w:val="28"/>
                <w:shd w:fill="auto" w:val="clear"/>
                <w:lang w:val="uk-UA" w:eastAsia="uk-UA" w:bidi="ar-SA"/>
              </w:rPr>
              <w:t>38,0</w:t>
            </w:r>
          </w:p>
        </w:tc>
      </w:tr>
    </w:tbl>
    <w:p>
      <w:pPr>
        <w:pStyle w:val="Normal"/>
        <w:widowControl w:val="false"/>
        <w:spacing w:lineRule="auto" w:line="240" w:before="0" w:after="0"/>
        <w:rPr>
          <w:rFonts w:ascii="Times New Roman" w:hAnsi="Times New Roman" w:eastAsia="Times New Roman" w:cs="Times New Roman"/>
          <w:color w:val="000000"/>
          <w:sz w:val="24"/>
          <w:szCs w:val="24"/>
          <w:lang w:val="uk-UA"/>
        </w:rPr>
      </w:pPr>
      <w:r>
        <w:rPr>
          <w:rFonts w:eastAsia="Times New Roman" w:cs="Times New Roman" w:ascii="Times New Roman" w:hAnsi="Times New Roman"/>
          <w:color w:val="000000"/>
          <w:sz w:val="28"/>
          <w:szCs w:val="28"/>
          <w:shd w:fill="9ACD32" w:val="clear"/>
          <w:lang w:val="uk-UA"/>
        </w:rPr>
      </w:r>
    </w:p>
    <w:p>
      <w:pPr>
        <w:pStyle w:val="Normal"/>
        <w:spacing w:before="0" w:after="0"/>
        <w:ind w:firstLine="567"/>
        <w:jc w:val="center"/>
        <w:rPr>
          <w:lang w:val="uk-UA"/>
        </w:rPr>
      </w:pPr>
      <w:r>
        <w:rPr>
          <w:rFonts w:eastAsia="Century Gothic" w:cs="Century Gothic" w:ascii="Times New Roman" w:hAnsi="Times New Roman"/>
          <w:b/>
          <w:bCs/>
          <w:color w:val="000000"/>
          <w:kern w:val="0"/>
          <w:sz w:val="28"/>
          <w:szCs w:val="28"/>
          <w:shd w:fill="auto" w:val="clear"/>
          <w:lang w:val="uk-UA" w:eastAsia="uk-UA"/>
        </w:rPr>
        <w:t>5.3. Потенційні джерела фінансування проєктів МЕП</w:t>
      </w:r>
    </w:p>
    <w:p>
      <w:pPr>
        <w:pStyle w:val="Normal"/>
        <w:numPr>
          <w:ilvl w:val="0"/>
          <w:numId w:val="0"/>
        </w:numPr>
        <w:spacing w:lineRule="auto" w:line="259" w:before="0" w:after="80"/>
        <w:ind w:hanging="0" w:start="0"/>
        <w:jc w:val="center"/>
        <w:outlineLvl w:val="0"/>
        <w:rPr>
          <w:rFonts w:eastAsia="Times New Roman" w:cs="Times New Roman"/>
          <w:b/>
          <w:color w:val="000000"/>
          <w:kern w:val="0"/>
          <w:lang w:eastAsia="uk-UA"/>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Основні потенційні джерела фінансування проєктів, реалізація яких передбачена муніципальним енергетичним планом, включають: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i/>
          <w:iCs/>
          <w:color w:val="000000"/>
          <w:kern w:val="0"/>
          <w:sz w:val="28"/>
          <w:szCs w:val="28"/>
          <w:shd w:fill="auto" w:val="clear"/>
          <w:lang w:eastAsia="uk-UA"/>
        </w:rPr>
        <w:t>К</w:t>
      </w:r>
      <w:r>
        <w:rPr>
          <w:rFonts w:eastAsia="Century Gothic" w:cs="Century Gothic" w:ascii="Times New Roman" w:hAnsi="Times New Roman"/>
          <w:i/>
          <w:iCs/>
          <w:color w:val="000000"/>
          <w:kern w:val="0"/>
          <w:sz w:val="28"/>
          <w:szCs w:val="28"/>
          <w:shd w:fill="auto" w:val="clear"/>
          <w:lang w:eastAsia="uk-UA"/>
        </w:rPr>
        <w:t xml:space="preserve">ошти міського бюджету та кошти комунальних підприємств, установ і організацій, засновником яких є </w:t>
      </w:r>
      <w:r>
        <w:rPr>
          <w:rFonts w:eastAsia="Century Gothic" w:cs="Century Gothic" w:ascii="Times New Roman" w:hAnsi="Times New Roman"/>
          <w:i/>
          <w:iCs/>
          <w:color w:val="000000"/>
          <w:kern w:val="0"/>
          <w:sz w:val="28"/>
          <w:szCs w:val="28"/>
          <w:shd w:fill="auto" w:val="clear"/>
          <w:lang w:eastAsia="uk-UA"/>
        </w:rPr>
        <w:t xml:space="preserve">Покровська міська </w:t>
      </w:r>
      <w:r>
        <w:rPr>
          <w:rFonts w:eastAsia="Century Gothic" w:cs="Century Gothic" w:ascii="Times New Roman" w:hAnsi="Times New Roman"/>
          <w:i/>
          <w:iCs/>
          <w:color w:val="000000"/>
          <w:kern w:val="0"/>
          <w:sz w:val="28"/>
          <w:szCs w:val="28"/>
          <w:shd w:fill="auto" w:val="clear"/>
          <w:lang w:eastAsia="uk-UA"/>
        </w:rPr>
        <w:t>рада:</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заходів з енергоефективності у будівлях бюджетних установ, що фінансуються з місцевого бюджету;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підтримка фінансування заходів з енергоефективності у житлових будівлях через часткову компенсацію кредитних коштів чи відсотків за кредитами, залученими населенням на закупівлю енергоефективного обладнання і матеріалів;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заходів з енергоефективності у житлових будівлях;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платежі за енергосервісними контрактами відповідно до укладених договорів для залучення приватного капіталу у фінансування заходів з енергоефективності бюджетних будівель.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i/>
          <w:iCs/>
          <w:color w:val="000000"/>
          <w:kern w:val="0"/>
          <w:sz w:val="28"/>
          <w:szCs w:val="28"/>
          <w:shd w:fill="auto" w:val="clear"/>
          <w:lang w:eastAsia="uk-UA"/>
        </w:rPr>
        <w:t>Кошти державного бюджету, включаючи кошти державного фонду регіонального розвитку та фонду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підтримка фінансування заходів з енергоефективності у житлових будівлях через державні програми з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 xml:space="preserve">фінансування заходів з енергоефективності у будівлях бюджетних установ, що фінансуються з місцевого бюджету, </w:t>
      </w:r>
      <w:r>
        <w:rPr>
          <w:rFonts w:eastAsia="Century Gothic" w:cs="Century Gothic" w:ascii="Times New Roman" w:hAnsi="Times New Roman"/>
          <w:color w:val="000000"/>
          <w:kern w:val="0"/>
          <w:sz w:val="28"/>
          <w:szCs w:val="28"/>
          <w:shd w:fill="auto" w:val="clear"/>
          <w:lang w:eastAsia="uk-UA"/>
        </w:rPr>
        <w:t>за рахунок</w:t>
      </w:r>
      <w:r>
        <w:rPr>
          <w:rFonts w:eastAsia="Century Gothic" w:cs="Century Gothic" w:ascii="Times New Roman" w:hAnsi="Times New Roman"/>
          <w:color w:val="000000"/>
          <w:kern w:val="0"/>
          <w:sz w:val="28"/>
          <w:szCs w:val="28"/>
          <w:shd w:fill="auto" w:val="clear"/>
          <w:lang w:eastAsia="uk-UA"/>
        </w:rPr>
        <w:t xml:space="preserve"> коштів державного фонду регіонального розвитку.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i/>
          <w:iCs/>
          <w:color w:val="000000"/>
          <w:kern w:val="0"/>
          <w:sz w:val="28"/>
          <w:szCs w:val="28"/>
          <w:shd w:fill="auto" w:val="clear"/>
          <w:lang w:eastAsia="uk-UA"/>
        </w:rPr>
        <w:t>- Пільгові кредити та позики міжнародних фінансових установ (Світовий банк, ЄБРР, ЄІБ, НЕФКО, USAID, SIDA, ПРООН тощо) та грантові кошти: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заходів з енергоефективності у будівлях бюджетних установ, що фінансуються з місцевого бюджету;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фінансування проєктів з підвищення енергоефективності у сфері теплопостачання.</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i/>
          <w:iCs/>
          <w:color w:val="000000"/>
          <w:kern w:val="0"/>
          <w:sz w:val="28"/>
          <w:szCs w:val="28"/>
          <w:shd w:fill="auto" w:val="clear"/>
          <w:lang w:eastAsia="uk-UA"/>
        </w:rPr>
        <w:t>- Кошти підприємств: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Комунальні та приватні підприємства, які здійснюють управління міською інфраструктурою, інвестуватимуть власні кошти в проєкти з підвищення енергоефективності. Інвестиційні програми можуть фінансуватися коштом амортизаційних відрахувань, виробничих інвестицій з прибутку, позик та інших джерел. У 2016 році НКРЕКП розпочала підготовчу роботу із запровадження системи регулювання тарифів на принципах заохочувального регулювання у сфері комунальних послуг, у тому числі у сфері теплопостачання та у сфері централізованого водопостачання та водовідведення. Передбачається, що тарифи встановлюватимуться на основі довгострокової інвестиційної програми на період від 3 до 5 років та враховуватимуть цільові завдання суб’єктів господарювання щодо скорочення втрат в мережах та зменшення витрат електроенергії для технологічних потреб, а також інвестиції для оновлення систем теплопостачання та водопостачання і водовідведення. Запровадження заохочувального тарифоутворення дозволить збільшити обсяги інвестицій підприємств у підвищення енергоефективності.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p>
    <w:p>
      <w:pPr>
        <w:pStyle w:val="Normal"/>
        <w:ind w:firstLine="567"/>
        <w:jc w:val="center"/>
        <w:rPr>
          <w:rFonts w:ascii="Times New Roman" w:hAnsi="Times New Roman"/>
          <w:sz w:val="26"/>
          <w:szCs w:val="26"/>
        </w:rPr>
      </w:pPr>
      <w:r>
        <w:rPr>
          <w:rFonts w:eastAsia="Times New Roman" w:cs="Times New Roman" w:ascii="Times New Roman" w:hAnsi="Times New Roman"/>
          <w:b/>
          <w:color w:val="000000"/>
          <w:kern w:val="0"/>
          <w:sz w:val="28"/>
          <w:szCs w:val="28"/>
          <w:lang w:eastAsia="uk-UA"/>
        </w:rPr>
        <w:t>6</w:t>
      </w:r>
      <w:bookmarkStart w:id="52" w:name="_Toc195651513"/>
      <w:bookmarkStart w:id="53" w:name="_Toc188792645"/>
      <w:r>
        <w:rPr>
          <w:rFonts w:eastAsia="Times New Roman" w:cs="Times New Roman" w:ascii="Times New Roman" w:hAnsi="Times New Roman"/>
          <w:b/>
          <w:color w:val="000000"/>
          <w:kern w:val="0"/>
          <w:sz w:val="28"/>
          <w:szCs w:val="28"/>
          <w:lang w:eastAsia="uk-UA"/>
        </w:rPr>
        <w:t>. ОЧІКУВАНІ РЕЗУЛЬТАТИ ВИКОНАННЯ МЕП</w:t>
      </w:r>
      <w:bookmarkEnd w:id="52"/>
      <w:bookmarkEnd w:id="53"/>
    </w:p>
    <w:p>
      <w:pPr>
        <w:pStyle w:val="Normal"/>
        <w:ind w:firstLine="567"/>
        <w:jc w:val="both"/>
        <w:rPr>
          <w:rFonts w:ascii="Times New Roman" w:hAnsi="Times New Roman"/>
          <w:sz w:val="26"/>
          <w:szCs w:val="26"/>
        </w:rPr>
      </w:pPr>
      <w:r>
        <w:rPr>
          <w:rFonts w:ascii="Times New Roman" w:hAnsi="Times New Roman"/>
          <w:sz w:val="28"/>
          <w:szCs w:val="28"/>
          <w:shd w:fill="9ACD32"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Основні результати виконання муніципального енергетичного плану </w:t>
      </w:r>
      <w:r>
        <w:rPr>
          <w:rFonts w:eastAsia="Century Gothic" w:cs="Century Gothic" w:ascii="Times New Roman" w:hAnsi="Times New Roman"/>
          <w:color w:val="000000"/>
          <w:kern w:val="0"/>
          <w:sz w:val="28"/>
          <w:szCs w:val="28"/>
          <w:shd w:fill="auto" w:val="clear"/>
          <w:lang w:eastAsia="uk-UA"/>
        </w:rPr>
        <w:t>Покровської міської територіальної громади</w:t>
      </w:r>
      <w:r>
        <w:rPr>
          <w:rFonts w:eastAsia="Century Gothic" w:cs="Century Gothic" w:ascii="Times New Roman" w:hAnsi="Times New Roman"/>
          <w:color w:val="000000"/>
          <w:kern w:val="0"/>
          <w:sz w:val="28"/>
          <w:szCs w:val="28"/>
          <w:shd w:fill="auto" w:val="clear"/>
          <w:lang w:eastAsia="uk-UA"/>
        </w:rPr>
        <w:t xml:space="preserve"> можна поділити на наступні категорії:</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Політичні: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залежності громади від імпортного природного газу;</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підвищення енергетичної безпеки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удосконалення системи управління енергоспоживанням в комунальних установах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Економічні: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платежів на оплату паливно-енергетичних ресурсів у витратній частині бюджету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стабілізація темпів зростання для всіх категорій споживачів;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збільшення приватних інвестицій в модернізацію комунальної інфраструктури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Екологічні: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викидів парникових газів;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зниження забруднення повітря.</w:t>
      </w:r>
    </w:p>
    <w:p>
      <w:pPr>
        <w:pStyle w:val="Normal"/>
        <w:ind w:firstLine="567"/>
        <w:jc w:val="both"/>
        <w:rPr>
          <w:rFonts w:ascii="Times New Roman" w:hAnsi="Times New Roman"/>
          <w:sz w:val="26"/>
          <w:szCs w:val="26"/>
        </w:rPr>
      </w:pPr>
      <w:r>
        <w:rPr>
          <w:rFonts w:eastAsia="Century Gothic" w:cs="Century Gothic" w:ascii="Times New Roman" w:hAnsi="Times New Roman"/>
          <w:b/>
          <w:bCs/>
          <w:color w:val="000000"/>
          <w:kern w:val="0"/>
          <w:sz w:val="28"/>
          <w:szCs w:val="28"/>
          <w:shd w:fill="auto" w:val="clear"/>
          <w:lang w:eastAsia="uk-UA"/>
        </w:rPr>
        <w:t>Соціальні:</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покращення якості послуг для споживачів;</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підвищення рівня кліматичного комфорту в громадських та житлових будівлях;</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подовження строку експлуатації будівель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покращення зовнішнього вигляду громадських та житлових будівель громади</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збільшення кількості робочих місць;</w:t>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t xml:space="preserve">• </w:t>
      </w:r>
      <w:r>
        <w:rPr>
          <w:rFonts w:eastAsia="Century Gothic" w:cs="Century Gothic" w:ascii="Times New Roman" w:hAnsi="Times New Roman"/>
          <w:color w:val="000000"/>
          <w:kern w:val="0"/>
          <w:sz w:val="28"/>
          <w:szCs w:val="28"/>
          <w:shd w:fill="auto" w:val="clear"/>
          <w:lang w:eastAsia="uk-UA"/>
        </w:rPr>
        <w:t>формування ощадливого відношення споживачів до споживання енергоресурсі</w:t>
      </w:r>
      <w:r>
        <w:rPr>
          <w:rFonts w:eastAsia="Century Gothic" w:cs="Century Gothic" w:ascii="Times New Roman" w:hAnsi="Times New Roman"/>
          <w:color w:val="000000"/>
          <w:kern w:val="0"/>
          <w:sz w:val="28"/>
          <w:szCs w:val="28"/>
          <w:shd w:fill="auto" w:val="clear"/>
          <w:lang w:eastAsia="uk-UA"/>
        </w:rPr>
        <w:t>в.</w:t>
      </w:r>
    </w:p>
    <w:p>
      <w:pPr>
        <w:pStyle w:val="Normal"/>
        <w:ind w:firstLine="567"/>
        <w:jc w:val="both"/>
        <w:rPr>
          <w:rFonts w:ascii="Times New Roman" w:hAnsi="Times New Roman"/>
          <w:sz w:val="26"/>
          <w:szCs w:val="26"/>
        </w:rPr>
      </w:pPr>
      <w:r>
        <w:rPr>
          <w:rFonts w:ascii="Times New Roman" w:hAnsi="Times New Roman"/>
          <w:sz w:val="28"/>
          <w:szCs w:val="28"/>
          <w:shd w:fill="auto" w:val="clear"/>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p>
      <w:pPr>
        <w:pStyle w:val="Normal"/>
        <w:ind w:firstLine="567"/>
        <w:jc w:val="both"/>
        <w:rPr>
          <w:rFonts w:ascii="Times New Roman" w:hAnsi="Times New Roman"/>
          <w:sz w:val="26"/>
          <w:szCs w:val="26"/>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4"/>
          <w:szCs w:val="24"/>
          <w:shd w:fill="auto" w:val="clear"/>
          <w:lang w:eastAsia="uk-UA"/>
        </w:rPr>
        <w:t>Д</w:t>
      </w:r>
      <w:r>
        <w:rPr>
          <w:rFonts w:eastAsia="Century Gothic" w:cs="Century Gothic" w:ascii="Times New Roman" w:hAnsi="Times New Roman"/>
          <w:b/>
          <w:bCs/>
          <w:color w:val="000000"/>
          <w:kern w:val="0"/>
          <w:sz w:val="24"/>
          <w:szCs w:val="24"/>
          <w:shd w:fill="auto" w:val="clear"/>
          <w:lang w:eastAsia="uk-UA"/>
        </w:rPr>
        <w:t xml:space="preserve">одаток </w:t>
      </w:r>
      <w:r>
        <w:rPr>
          <w:rFonts w:eastAsia="Century Gothic" w:cs="Century Gothic" w:ascii="Times New Roman" w:hAnsi="Times New Roman"/>
          <w:b/>
          <w:bCs/>
          <w:color w:val="000000"/>
          <w:kern w:val="0"/>
          <w:sz w:val="24"/>
          <w:szCs w:val="24"/>
          <w:shd w:fill="auto" w:val="clear"/>
          <w:lang w:eastAsia="uk-UA"/>
        </w:rPr>
        <w:t>1</w:t>
      </w:r>
      <w:r>
        <w:rPr>
          <w:rFonts w:eastAsia="Century Gothic" w:cs="Century Gothic" w:ascii="Times New Roman" w:hAnsi="Times New Roman"/>
          <w:b/>
          <w:bCs/>
          <w:color w:val="000000"/>
          <w:kern w:val="0"/>
          <w:sz w:val="24"/>
          <w:szCs w:val="24"/>
          <w:shd w:fill="auto" w:val="clear"/>
          <w:lang w:eastAsia="uk-UA"/>
        </w:rPr>
        <w:t xml:space="preserve"> «Каталог проєктів сталого енергетичного розвитку території територіальної громади»</w:t>
      </w:r>
    </w:p>
    <w:tbl>
      <w:tblPr>
        <w:tblW w:w="5000" w:type="pct"/>
        <w:jc w:val="start"/>
        <w:tblInd w:w="-5" w:type="dxa"/>
        <w:tblLayout w:type="fixed"/>
        <w:tblCellMar>
          <w:top w:w="55" w:type="dxa"/>
          <w:start w:w="55" w:type="dxa"/>
          <w:bottom w:w="55" w:type="dxa"/>
          <w:end w:w="55" w:type="dxa"/>
        </w:tblCellMar>
      </w:tblPr>
      <w:tblGrid>
        <w:gridCol w:w="2772"/>
        <w:gridCol w:w="3061"/>
        <w:gridCol w:w="1189"/>
        <w:gridCol w:w="1712"/>
        <w:gridCol w:w="1753"/>
        <w:gridCol w:w="1525"/>
        <w:gridCol w:w="2558"/>
      </w:tblGrid>
      <w:tr>
        <w:trPr/>
        <w:tc>
          <w:tcPr>
            <w:tcW w:w="2772"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Назва заходу</w:t>
            </w:r>
          </w:p>
        </w:tc>
        <w:tc>
          <w:tcPr>
            <w:tcW w:w="3061"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 xml:space="preserve"> </w:t>
            </w:r>
            <w:r>
              <w:rPr>
                <w:rFonts w:eastAsia="Century Gothic" w:cs="Century Gothic" w:ascii="Times New Roman" w:hAnsi="Times New Roman"/>
                <w:b/>
                <w:bCs/>
                <w:color w:val="000000"/>
                <w:kern w:val="0"/>
                <w:sz w:val="24"/>
                <w:szCs w:val="24"/>
                <w:lang w:eastAsia="uk-UA"/>
              </w:rPr>
              <w:t>Зміст заходів</w:t>
            </w:r>
          </w:p>
        </w:tc>
        <w:tc>
          <w:tcPr>
            <w:tcW w:w="1189"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Термін</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виконання,</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роки</w:t>
            </w:r>
          </w:p>
        </w:tc>
        <w:tc>
          <w:tcPr>
            <w:tcW w:w="1712"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Виконавці</w:t>
            </w:r>
          </w:p>
        </w:tc>
        <w:tc>
          <w:tcPr>
            <w:tcW w:w="1753"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Джерела</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фінансування</w:t>
            </w:r>
          </w:p>
        </w:tc>
        <w:tc>
          <w:tcPr>
            <w:tcW w:w="1525" w:type="dxa"/>
            <w:tcBorders>
              <w:top w:val="single" w:sz="4" w:space="0" w:color="000000"/>
              <w:start w:val="single" w:sz="4" w:space="0" w:color="000000"/>
              <w:bottom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Орієнтовний</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обсяг</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фінансування, тис. грн.</w:t>
            </w:r>
          </w:p>
        </w:tc>
        <w:tc>
          <w:tcPr>
            <w:tcW w:w="2558" w:type="dxa"/>
            <w:tcBorders>
              <w:top w:val="single" w:sz="4" w:space="0" w:color="000000"/>
              <w:start w:val="single" w:sz="4" w:space="0" w:color="000000"/>
              <w:bottom w:val="single" w:sz="4" w:space="0" w:color="000000"/>
              <w:end w:val="single" w:sz="4" w:space="0" w:color="000000"/>
            </w:tcBorders>
          </w:tcPr>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Очікуваний</w:t>
            </w:r>
          </w:p>
          <w:p>
            <w:pPr>
              <w:pStyle w:val="Normal"/>
              <w:ind w:hanging="0" w:start="0" w:end="0"/>
              <w:jc w:val="center"/>
              <w:rPr>
                <w:rFonts w:ascii="Times New Roman" w:hAnsi="Times New Roman"/>
                <w:sz w:val="26"/>
                <w:szCs w:val="26"/>
              </w:rPr>
            </w:pPr>
            <w:r>
              <w:rPr>
                <w:rFonts w:eastAsia="Century Gothic" w:cs="Century Gothic" w:ascii="Times New Roman" w:hAnsi="Times New Roman"/>
                <w:b/>
                <w:bCs/>
                <w:color w:val="000000"/>
                <w:kern w:val="0"/>
                <w:sz w:val="24"/>
                <w:szCs w:val="24"/>
                <w:lang w:eastAsia="uk-UA"/>
              </w:rPr>
              <w:t>результат</w:t>
            </w:r>
          </w:p>
        </w:tc>
      </w:tr>
      <w:tr>
        <w:trPr/>
        <w:tc>
          <w:tcPr>
            <w:tcW w:w="2772" w:type="dxa"/>
            <w:tcBorders>
              <w:start w:val="single" w:sz="4" w:space="0" w:color="000000"/>
              <w:bottom w:val="single" w:sz="4" w:space="0" w:color="000000"/>
            </w:tcBorders>
          </w:tcPr>
          <w:p>
            <w:pPr>
              <w:pStyle w:val="Normal"/>
              <w:rPr>
                <w:rFonts w:ascii="Times New Roman" w:hAnsi="Times New Roman"/>
                <w:sz w:val="24"/>
                <w:szCs w:val="24"/>
                <w:lang w:eastAsia="uk-UA"/>
              </w:rPr>
            </w:pPr>
            <w:r>
              <w:rPr>
                <w:rFonts w:ascii="Times New Roman" w:hAnsi="Times New Roman"/>
                <w:sz w:val="24"/>
                <w:szCs w:val="24"/>
                <w:lang w:eastAsia="uk-UA"/>
              </w:rPr>
              <w:t>Озеленення населених</w:t>
            </w:r>
          </w:p>
          <w:p>
            <w:pPr>
              <w:pStyle w:val="Normal"/>
              <w:rPr>
                <w:rFonts w:ascii="Times New Roman" w:hAnsi="Times New Roman"/>
                <w:sz w:val="24"/>
                <w:szCs w:val="24"/>
                <w:lang w:eastAsia="uk-UA"/>
              </w:rPr>
            </w:pPr>
            <w:r>
              <w:rPr>
                <w:rFonts w:ascii="Times New Roman" w:hAnsi="Times New Roman"/>
                <w:sz w:val="24"/>
                <w:szCs w:val="24"/>
                <w:lang w:eastAsia="uk-UA"/>
              </w:rPr>
              <w:t>пунктів, заліснення</w:t>
            </w:r>
          </w:p>
          <w:p>
            <w:pPr>
              <w:pStyle w:val="Normal"/>
              <w:rPr>
                <w:rFonts w:ascii="Times New Roman" w:hAnsi="Times New Roman"/>
                <w:sz w:val="24"/>
                <w:szCs w:val="24"/>
                <w:lang w:eastAsia="uk-UA"/>
              </w:rPr>
            </w:pPr>
            <w:r>
              <w:rPr>
                <w:rFonts w:ascii="Times New Roman" w:hAnsi="Times New Roman"/>
                <w:sz w:val="24"/>
                <w:szCs w:val="24"/>
                <w:lang w:eastAsia="uk-UA"/>
              </w:rPr>
              <w:t>територій,</w:t>
            </w:r>
          </w:p>
          <w:p>
            <w:pPr>
              <w:pStyle w:val="Normal"/>
              <w:rPr>
                <w:rFonts w:ascii="Times New Roman" w:hAnsi="Times New Roman"/>
                <w:sz w:val="24"/>
                <w:szCs w:val="24"/>
                <w:lang w:eastAsia="uk-UA"/>
              </w:rPr>
            </w:pPr>
            <w:r>
              <w:rPr>
                <w:rFonts w:ascii="Times New Roman" w:hAnsi="Times New Roman"/>
                <w:sz w:val="24"/>
                <w:szCs w:val="24"/>
                <w:lang w:eastAsia="uk-UA"/>
              </w:rPr>
              <w:t>впорядкування зелених</w:t>
            </w:r>
          </w:p>
          <w:p>
            <w:pPr>
              <w:pStyle w:val="Normal"/>
              <w:rPr>
                <w:rFonts w:ascii="Times New Roman" w:hAnsi="Times New Roman"/>
                <w:sz w:val="24"/>
                <w:szCs w:val="24"/>
                <w:lang w:eastAsia="uk-UA"/>
              </w:rPr>
            </w:pPr>
            <w:r>
              <w:rPr>
                <w:rFonts w:ascii="Times New Roman" w:hAnsi="Times New Roman"/>
                <w:sz w:val="24"/>
                <w:szCs w:val="24"/>
                <w:lang w:eastAsia="uk-UA"/>
              </w:rPr>
              <w:t>зон населених пунктів</w:t>
            </w:r>
          </w:p>
          <w:p>
            <w:pPr>
              <w:pStyle w:val="Normal"/>
              <w:rPr>
                <w:rFonts w:ascii="Times New Roman" w:hAnsi="Times New Roman"/>
                <w:sz w:val="24"/>
                <w:szCs w:val="24"/>
                <w:lang w:eastAsia="uk-UA"/>
              </w:rPr>
            </w:pPr>
            <w:r>
              <w:rPr>
                <w:rFonts w:ascii="Times New Roman" w:hAnsi="Times New Roman"/>
                <w:sz w:val="24"/>
                <w:szCs w:val="24"/>
                <w:lang w:eastAsia="uk-UA"/>
              </w:rPr>
              <w:t>громади</w:t>
            </w:r>
          </w:p>
        </w:tc>
        <w:tc>
          <w:tcPr>
            <w:tcW w:w="3061" w:type="dxa"/>
            <w:tcBorders>
              <w:start w:val="single" w:sz="4" w:space="0" w:color="000000"/>
              <w:bottom w:val="single" w:sz="4" w:space="0" w:color="000000"/>
            </w:tcBorders>
          </w:tcPr>
          <w:p>
            <w:pPr>
              <w:pStyle w:val="Style20"/>
              <w:rPr>
                <w:rFonts w:ascii="Times New Roman" w:hAnsi="Times New Roman"/>
                <w:sz w:val="24"/>
                <w:szCs w:val="24"/>
                <w:lang w:eastAsia="uk-UA"/>
              </w:rPr>
            </w:pPr>
            <w:r>
              <w:rPr>
                <w:rFonts w:ascii="Times New Roman" w:hAnsi="Times New Roman"/>
                <w:sz w:val="24"/>
                <w:szCs w:val="24"/>
                <w:lang w:eastAsia="uk-UA"/>
              </w:rPr>
              <w:t>- висадження нових зелених насаджень у населених пунктах громади, заліснення територій,</w:t>
            </w:r>
          </w:p>
          <w:p>
            <w:pPr>
              <w:pStyle w:val="Normal"/>
              <w:rPr>
                <w:rFonts w:ascii="Times New Roman" w:hAnsi="Times New Roman"/>
                <w:sz w:val="24"/>
                <w:szCs w:val="24"/>
                <w:lang w:eastAsia="uk-UA"/>
              </w:rPr>
            </w:pPr>
            <w:r>
              <w:rPr>
                <w:rFonts w:ascii="Times New Roman" w:hAnsi="Times New Roman"/>
                <w:sz w:val="24"/>
                <w:szCs w:val="24"/>
                <w:lang w:eastAsia="uk-UA"/>
              </w:rPr>
              <w:t>- впорядкування існуючих зелених зон;</w:t>
            </w:r>
          </w:p>
          <w:p>
            <w:pPr>
              <w:pStyle w:val="Normal"/>
              <w:rPr>
                <w:rFonts w:ascii="Times New Roman" w:hAnsi="Times New Roman"/>
                <w:sz w:val="24"/>
                <w:szCs w:val="24"/>
                <w:lang w:eastAsia="uk-UA"/>
              </w:rPr>
            </w:pPr>
            <w:r>
              <w:rPr>
                <w:rFonts w:ascii="Times New Roman" w:hAnsi="Times New Roman"/>
                <w:sz w:val="24"/>
                <w:szCs w:val="24"/>
                <w:lang w:eastAsia="uk-UA"/>
              </w:rPr>
              <w:t>- поліпшення благоустрою населених пунктів громади, озеленення територій.</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комунальні 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Normal"/>
              <w:rPr>
                <w:rFonts w:ascii="Times New Roman" w:hAnsi="Times New Roman"/>
                <w:sz w:val="24"/>
                <w:szCs w:val="24"/>
                <w:shd w:fill="auto" w:val="clear"/>
                <w:lang w:eastAsia="uk-UA"/>
              </w:rPr>
            </w:pPr>
            <w:r>
              <w:rPr>
                <w:rFonts w:ascii="Times New Roman" w:hAnsi="Times New Roman"/>
                <w:sz w:val="24"/>
                <w:szCs w:val="24"/>
                <w:shd w:fill="auto" w:val="clear"/>
                <w:lang w:eastAsia="uk-UA"/>
              </w:rPr>
              <w:t>Поліпшення</w:t>
            </w:r>
          </w:p>
          <w:p>
            <w:pPr>
              <w:pStyle w:val="Normal"/>
              <w:rPr>
                <w:rFonts w:ascii="Times New Roman" w:hAnsi="Times New Roman"/>
                <w:sz w:val="24"/>
                <w:szCs w:val="24"/>
                <w:shd w:fill="auto" w:val="clear"/>
                <w:lang w:eastAsia="uk-UA"/>
              </w:rPr>
            </w:pPr>
            <w:r>
              <w:rPr>
                <w:rFonts w:ascii="Times New Roman" w:hAnsi="Times New Roman"/>
                <w:sz w:val="24"/>
                <w:szCs w:val="24"/>
                <w:shd w:fill="auto" w:val="clear"/>
                <w:lang w:eastAsia="uk-UA"/>
              </w:rPr>
              <w:t>благоустрою</w:t>
            </w:r>
          </w:p>
          <w:p>
            <w:pPr>
              <w:pStyle w:val="Normal"/>
              <w:rPr>
                <w:rFonts w:ascii="Times New Roman" w:hAnsi="Times New Roman"/>
                <w:sz w:val="24"/>
                <w:szCs w:val="24"/>
                <w:shd w:fill="auto" w:val="clear"/>
                <w:lang w:eastAsia="uk-UA"/>
              </w:rPr>
            </w:pPr>
            <w:r>
              <w:rPr>
                <w:rFonts w:ascii="Times New Roman" w:hAnsi="Times New Roman"/>
                <w:sz w:val="24"/>
                <w:szCs w:val="24"/>
                <w:shd w:fill="auto" w:val="clear"/>
                <w:lang w:eastAsia="uk-UA"/>
              </w:rPr>
              <w:t>населених пунктів</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Раціональне поводження з ТПВ та благоустрій населених пунктів</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громади</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1. </w:t>
            </w:r>
            <w:r>
              <w:rPr>
                <w:rFonts w:eastAsia="Century Gothic" w:cs="Century Gothic" w:ascii="Times New Roman" w:hAnsi="Times New Roman"/>
                <w:b w:val="false"/>
                <w:bCs w:val="false"/>
                <w:sz w:val="24"/>
                <w:szCs w:val="24"/>
              </w:rPr>
              <w:t>Облаштування майданчиків для розміщення євроконтейнерів для ТПВ.</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2. Організація роботи комунального</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підприємства зі збору твердих</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побутових відходів згідно</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розробленого графіку на території громади.</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3. Придбання контейнерів для збору сміття різної ємності.</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4. Проведення навчальних семінарів з дітьми по екологічній культурі. </w:t>
            </w:r>
          </w:p>
        </w:tc>
        <w:tc>
          <w:tcPr>
            <w:tcW w:w="1189"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lang w:eastAsia="uk-UA"/>
              </w:rPr>
              <w:t>202</w:t>
            </w:r>
            <w:r>
              <w:rPr>
                <w:rFonts w:eastAsia="Century Gothic" w:cs="Century Gothic" w:ascii="Times New Roman" w:hAnsi="Times New Roman"/>
                <w:b w:val="false"/>
                <w:bCs w:val="false"/>
                <w:sz w:val="24"/>
                <w:szCs w:val="24"/>
                <w:lang w:eastAsia="uk-UA"/>
              </w:rPr>
              <w:t>6</w:t>
            </w:r>
            <w:r>
              <w:rPr>
                <w:rFonts w:eastAsia="Century Gothic" w:cs="Century Gothic" w:ascii="Times New Roman" w:hAnsi="Times New Roman"/>
                <w:b w:val="false"/>
                <w:bCs w:val="false"/>
                <w:sz w:val="24"/>
                <w:szCs w:val="24"/>
                <w:lang w:eastAsia="uk-UA"/>
              </w:rPr>
              <w:t>-20</w:t>
            </w:r>
            <w:r>
              <w:rPr>
                <w:rFonts w:eastAsia="Century Gothic" w:cs="Century Gothic"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r>
              <w:rPr>
                <w:rFonts w:ascii="Times New Roman" w:hAnsi="Times New Roman"/>
                <w:sz w:val="24"/>
                <w:szCs w:val="24"/>
                <w:lang w:eastAsia="uk-UA"/>
              </w:rPr>
              <w:t xml:space="preserve"> </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Забезпечення екологічної безпеки на території громади, населених пунктів громади, поліпшення її</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екологічного стану та</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підвищення</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екологічної культури</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населення.</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Р</w:t>
            </w:r>
            <w:r>
              <w:rPr>
                <w:rFonts w:eastAsia="Century Gothic" w:cs="Century Gothic" w:ascii="Times New Roman" w:hAnsi="Times New Roman"/>
                <w:b w:val="false"/>
                <w:bCs w:val="false"/>
                <w:sz w:val="24"/>
                <w:szCs w:val="24"/>
              </w:rPr>
              <w:t>емонт водопровідних мереж в населених пунктах громади</w:t>
            </w:r>
          </w:p>
        </w:tc>
        <w:tc>
          <w:tcPr>
            <w:tcW w:w="3061" w:type="dxa"/>
            <w:tcBorders>
              <w:start w:val="single" w:sz="4" w:space="0" w:color="000000"/>
              <w:bottom w:val="single" w:sz="4" w:space="0" w:color="000000"/>
            </w:tcBorders>
          </w:tcPr>
          <w:p>
            <w:pPr>
              <w:pStyle w:val="Style20"/>
              <w:widowControl w:val="false"/>
              <w:suppressLineNumbers/>
              <w:ind w:hanging="0" w:start="-57" w:end="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Забезпечення населення якісною питною водою, приведення ліній водопостачання до вимог санітарних норм</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Забезпечення</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якісного</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водопостачання та</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водовідведення</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населених пунктів</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Впровадження проєктів з розвитку сонячної енергетики </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Підтримка розвитку альтернативної енергетики із збільшенням частки альтернативної енергії в енергетичному балансі області, комплексне впровадження технологій з урахуванням екологічної складової, тенденцій виснаження запасів тих чи інших ресурсів для забезпечення сталого розвитку енергетичного сектора, підвищення енергетичної ефективності, поліпшення екологічної ситуації за рахунок використання енергії сонця, вітру, біомаси </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Згідно проєктних пропозицій </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Забезпечення енергозбереження та формування енергоефективного середовища </w:t>
            </w:r>
          </w:p>
        </w:tc>
      </w:tr>
      <w:tr>
        <w:trPr/>
        <w:tc>
          <w:tcPr>
            <w:tcW w:w="2772" w:type="dxa"/>
            <w:tcBorders>
              <w:start w:val="single" w:sz="4" w:space="0" w:color="000000"/>
              <w:bottom w:val="single" w:sz="4" w:space="0" w:color="000000"/>
            </w:tcBorders>
          </w:tcPr>
          <w:p>
            <w:pPr>
              <w:pStyle w:val="Style20"/>
              <w:jc w:val="start"/>
              <w:rPr>
                <w:rFonts w:ascii="Times New Roman" w:hAnsi="Times New Roman"/>
                <w:sz w:val="24"/>
                <w:szCs w:val="24"/>
              </w:rPr>
            </w:pPr>
            <w:r>
              <w:rPr>
                <w:rFonts w:eastAsia="Century Gothic" w:cs="Century Gothic" w:ascii="Times New Roman" w:hAnsi="Times New Roman"/>
                <w:b w:val="false"/>
                <w:bCs w:val="false"/>
                <w:sz w:val="24"/>
                <w:szCs w:val="24"/>
              </w:rPr>
              <w:t xml:space="preserve">Підвищення енергоефективності об’єктів бюджетної </w:t>
            </w:r>
            <w:r>
              <w:rPr>
                <w:rFonts w:ascii="Times New Roman" w:hAnsi="Times New Roman"/>
                <w:sz w:val="24"/>
                <w:szCs w:val="24"/>
              </w:rPr>
              <w:t xml:space="preserve">сфери </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П</w:t>
            </w:r>
            <w:r>
              <w:rPr>
                <w:rFonts w:eastAsia="Century Gothic" w:cs="Century Gothic" w:ascii="Times New Roman" w:hAnsi="Times New Roman"/>
                <w:b w:val="false"/>
                <w:bCs w:val="false"/>
                <w:sz w:val="24"/>
                <w:szCs w:val="24"/>
              </w:rPr>
              <w:t xml:space="preserve">роведення енергетичного аудиту, сертифікації енергетичної ефективності будівель бюджетних установ та впровадження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енергозберігаючих заходів, новітніх енергоефективних та енергоощадних технологій, проведення модернізації котельного обладнання, утеплення стін та горищ, заміна вікон і дверей; встановлення системи вентиляції з рекуперацією; встановлення індивідуальних теплових пунктів; модернізація кухонного обладнання, капітальний ремонт систем опалення, проведення робіт по утепленню фасад</w:t>
            </w:r>
            <w:r>
              <w:rPr>
                <w:rFonts w:eastAsia="Century Gothic" w:cs="Century Gothic" w:ascii="Times New Roman" w:hAnsi="Times New Roman"/>
                <w:b w:val="false"/>
                <w:bCs w:val="false"/>
                <w:sz w:val="24"/>
                <w:szCs w:val="24"/>
              </w:rPr>
              <w:t>ів</w:t>
            </w:r>
            <w:r>
              <w:rPr>
                <w:rFonts w:eastAsia="Century Gothic" w:cs="Century Gothic" w:ascii="Times New Roman" w:hAnsi="Times New Roman"/>
                <w:b w:val="false"/>
                <w:bCs w:val="false"/>
                <w:sz w:val="24"/>
                <w:szCs w:val="24"/>
              </w:rPr>
              <w:t xml:space="preserve">. </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підприємства</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jc w:val="center"/>
              <w:rPr>
                <w:rFonts w:ascii="Times New Roman" w:hAnsi="Times New Roman"/>
                <w:sz w:val="24"/>
                <w:szCs w:val="24"/>
                <w:shd w:fill="auto" w:val="clear"/>
                <w:lang w:eastAsia="uk-UA"/>
              </w:rPr>
            </w:pPr>
            <w:r>
              <w:rPr>
                <w:rFonts w:ascii="Times New Roman" w:hAnsi="Times New Roman"/>
                <w:sz w:val="24"/>
                <w:szCs w:val="24"/>
                <w:shd w:fill="auto" w:val="clear"/>
                <w:lang w:eastAsia="uk-UA"/>
              </w:rPr>
              <w:t>У межах бюджетних призначень</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sz w:val="24"/>
                <w:szCs w:val="24"/>
              </w:rPr>
            </w:pPr>
            <w:r>
              <w:rPr>
                <w:rFonts w:eastAsia="Century Gothic" w:cs="Century Gothic" w:ascii="Times New Roman" w:hAnsi="Times New Roman"/>
                <w:b w:val="false"/>
                <w:bCs w:val="false"/>
                <w:sz w:val="24"/>
                <w:szCs w:val="24"/>
              </w:rPr>
              <w:t xml:space="preserve">Забезпечення енергозбереження та формування </w:t>
            </w:r>
            <w:r>
              <w:rPr>
                <w:rFonts w:ascii="Times New Roman" w:hAnsi="Times New Roman"/>
                <w:sz w:val="24"/>
                <w:szCs w:val="24"/>
              </w:rPr>
              <w:t xml:space="preserve">енергоефективного середовища </w:t>
            </w:r>
          </w:p>
        </w:tc>
      </w:tr>
      <w:tr>
        <w:trPr/>
        <w:tc>
          <w:tcPr>
            <w:tcW w:w="2772"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Впровадження енергозберігаючих заходів в приватних помешканнях</w:t>
            </w:r>
          </w:p>
        </w:tc>
        <w:tc>
          <w:tcPr>
            <w:tcW w:w="3061"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Заміна ламп розжарювання на енергозберігаючі на сходових клітинах та у власних приміщеннях мешканців будинків і квартир</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 </w:t>
            </w:r>
            <w:r>
              <w:rPr>
                <w:rFonts w:ascii="Times New Roman" w:hAnsi="Times New Roman"/>
                <w:sz w:val="24"/>
                <w:szCs w:val="24"/>
                <w:lang w:eastAsia="uk-UA"/>
              </w:rPr>
              <w:t>П</w:t>
            </w:r>
            <w:r>
              <w:rPr>
                <w:rFonts w:ascii="Times New Roman" w:hAnsi="Times New Roman"/>
                <w:sz w:val="24"/>
                <w:szCs w:val="24"/>
                <w:lang w:eastAsia="uk-UA"/>
              </w:rPr>
              <w:t xml:space="preserve">ідприємства, </w:t>
            </w:r>
            <w:r>
              <w:rPr>
                <w:rFonts w:ascii="Times New Roman" w:hAnsi="Times New Roman"/>
                <w:sz w:val="24"/>
                <w:szCs w:val="24"/>
                <w:lang w:eastAsia="uk-UA"/>
              </w:rPr>
              <w:t>фізичні особи</w:t>
            </w:r>
          </w:p>
        </w:tc>
        <w:tc>
          <w:tcPr>
            <w:tcW w:w="1753"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Приватні кошти</w:t>
            </w:r>
          </w:p>
        </w:tc>
        <w:tc>
          <w:tcPr>
            <w:tcW w:w="1525" w:type="dxa"/>
            <w:tcBorders>
              <w:start w:val="single" w:sz="4" w:space="0" w:color="000000"/>
              <w:bottom w:val="single" w:sz="4" w:space="0" w:color="000000"/>
            </w:tcBorders>
          </w:tcPr>
          <w:p>
            <w:pPr>
              <w:pStyle w:val="Normal"/>
              <w:bidi w:val="0"/>
              <w:ind w:hanging="0" w:start="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end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Зменшення використання електроенергії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Часткова термомодернізація житлових будівель </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Утеплення фасаду, даху, цоколю, заміна вікон та дверей, встановлення ІТП, промивка, заміна вікон на сходових клітинах, відновлення теплової ізоляції трубопроводів, ремонт покрівель, заходи з санації інженерних мереж  </w:t>
            </w:r>
          </w:p>
        </w:tc>
        <w:tc>
          <w:tcPr>
            <w:tcW w:w="1189"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202</w:t>
            </w:r>
            <w:r>
              <w:rPr>
                <w:rFonts w:ascii="Times New Roman" w:hAnsi="Times New Roman"/>
                <w:sz w:val="24"/>
                <w:szCs w:val="24"/>
                <w:lang w:eastAsia="uk-UA"/>
              </w:rPr>
              <w:t>6</w:t>
            </w:r>
            <w:r>
              <w:rPr>
                <w:rFonts w:ascii="Times New Roman" w:hAnsi="Times New Roman"/>
                <w:sz w:val="24"/>
                <w:szCs w:val="24"/>
                <w:lang w:eastAsia="uk-UA"/>
              </w:rPr>
              <w:t>-20</w:t>
            </w:r>
            <w:r>
              <w:rPr>
                <w:rFonts w:ascii="Times New Roman" w:hAnsi="Times New Roman"/>
                <w:sz w:val="24"/>
                <w:szCs w:val="24"/>
                <w:lang w:eastAsia="uk-UA"/>
              </w:rPr>
              <w:t>30</w:t>
            </w:r>
          </w:p>
        </w:tc>
        <w:tc>
          <w:tcPr>
            <w:tcW w:w="1712"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У</w:t>
            </w:r>
            <w:r>
              <w:rPr>
                <w:rFonts w:eastAsia="Century Gothic" w:cs="Century Gothic" w:ascii="Times New Roman" w:hAnsi="Times New Roman"/>
                <w:b w:val="false"/>
                <w:bCs w:val="false"/>
                <w:sz w:val="24"/>
                <w:szCs w:val="24"/>
              </w:rPr>
              <w:t xml:space="preserve">правитель, </w:t>
            </w:r>
            <w:r>
              <w:rPr>
                <w:rFonts w:eastAsia="Century Gothic" w:cs="Century Gothic" w:ascii="Times New Roman" w:hAnsi="Times New Roman"/>
                <w:b w:val="false"/>
                <w:bCs w:val="false"/>
                <w:sz w:val="24"/>
                <w:szCs w:val="24"/>
                <w:lang w:eastAsia="uk-UA"/>
              </w:rPr>
              <w:t>п</w:t>
            </w:r>
            <w:r>
              <w:rPr>
                <w:rFonts w:eastAsia="Century Gothic" w:cs="Century Gothic" w:ascii="Times New Roman" w:hAnsi="Times New Roman"/>
                <w:b w:val="false"/>
                <w:bCs w:val="false"/>
                <w:sz w:val="24"/>
                <w:szCs w:val="24"/>
                <w:lang w:eastAsia="uk-UA"/>
              </w:rPr>
              <w:t xml:space="preserve">ідприємства, </w:t>
            </w:r>
            <w:r>
              <w:rPr>
                <w:rFonts w:eastAsia="Century Gothic" w:cs="Century Gothic" w:ascii="Times New Roman" w:hAnsi="Times New Roman"/>
                <w:b w:val="false"/>
                <w:bCs w:val="false"/>
                <w:sz w:val="24"/>
                <w:szCs w:val="24"/>
                <w:lang w:eastAsia="uk-UA"/>
              </w:rPr>
              <w:t>фізичні особи</w:t>
            </w:r>
          </w:p>
        </w:tc>
        <w:tc>
          <w:tcPr>
            <w:tcW w:w="1753"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Приватні кошти</w:t>
            </w:r>
          </w:p>
        </w:tc>
        <w:tc>
          <w:tcPr>
            <w:tcW w:w="1525" w:type="dxa"/>
            <w:tcBorders>
              <w:start w:val="single" w:sz="4" w:space="0" w:color="000000"/>
              <w:bottom w:val="single" w:sz="4" w:space="0" w:color="000000"/>
            </w:tcBorders>
          </w:tcPr>
          <w:p>
            <w:pPr>
              <w:pStyle w:val="Normal"/>
              <w:bidi w:val="0"/>
              <w:ind w:hanging="0" w:start="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Зменшення використання енергетичних ресурсів </w:t>
            </w:r>
          </w:p>
        </w:tc>
      </w:tr>
      <w:tr>
        <w:trPr/>
        <w:tc>
          <w:tcPr>
            <w:tcW w:w="2772"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Використання сонячної енергетики</w:t>
            </w:r>
          </w:p>
        </w:tc>
        <w:tc>
          <w:tcPr>
            <w:tcW w:w="3061"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Встановлення приватних сонячних електричних станцій</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jc w:val="center"/>
              <w:rPr>
                <w:rFonts w:ascii="Times New Roman" w:hAnsi="Times New Roman"/>
                <w:sz w:val="24"/>
                <w:szCs w:val="24"/>
                <w:lang w:eastAsia="uk-UA"/>
              </w:rPr>
            </w:pPr>
            <w:r>
              <w:rPr>
                <w:rFonts w:ascii="Times New Roman" w:hAnsi="Times New Roman"/>
                <w:sz w:val="24"/>
                <w:szCs w:val="24"/>
                <w:lang w:eastAsia="uk-UA"/>
              </w:rPr>
              <w:t>Міська</w:t>
            </w:r>
          </w:p>
          <w:p>
            <w:pPr>
              <w:pStyle w:val="Normal"/>
              <w:jc w:val="center"/>
              <w:rPr>
                <w:rFonts w:ascii="Times New Roman" w:hAnsi="Times New Roman"/>
                <w:sz w:val="24"/>
                <w:szCs w:val="24"/>
                <w:lang w:eastAsia="uk-UA"/>
              </w:rPr>
            </w:pPr>
            <w:r>
              <w:rPr>
                <w:rFonts w:ascii="Times New Roman" w:hAnsi="Times New Roman"/>
                <w:sz w:val="24"/>
                <w:szCs w:val="24"/>
                <w:lang w:eastAsia="uk-UA"/>
              </w:rPr>
              <w:t xml:space="preserve">рада, </w:t>
            </w:r>
            <w:r>
              <w:rPr>
                <w:rFonts w:ascii="Times New Roman" w:hAnsi="Times New Roman"/>
                <w:sz w:val="24"/>
                <w:szCs w:val="24"/>
                <w:lang w:eastAsia="uk-UA"/>
              </w:rPr>
              <w:t>комунал</w:t>
            </w:r>
            <w:r>
              <w:rPr>
                <w:rFonts w:ascii="Times New Roman" w:hAnsi="Times New Roman"/>
                <w:sz w:val="24"/>
                <w:szCs w:val="24"/>
                <w:lang w:eastAsia="uk-UA"/>
              </w:rPr>
              <w:t>ь</w:t>
            </w:r>
            <w:r>
              <w:rPr>
                <w:rFonts w:ascii="Times New Roman" w:hAnsi="Times New Roman"/>
                <w:sz w:val="24"/>
                <w:szCs w:val="24"/>
                <w:lang w:eastAsia="uk-UA"/>
              </w:rPr>
              <w:t xml:space="preserve">ні </w:t>
            </w:r>
            <w:r>
              <w:rPr>
                <w:rFonts w:ascii="Times New Roman" w:hAnsi="Times New Roman"/>
                <w:sz w:val="24"/>
                <w:szCs w:val="24"/>
                <w:lang w:eastAsia="uk-UA"/>
              </w:rPr>
              <w:t xml:space="preserve">та інші </w:t>
            </w:r>
            <w:r>
              <w:rPr>
                <w:rFonts w:ascii="Times New Roman" w:hAnsi="Times New Roman"/>
                <w:sz w:val="24"/>
                <w:szCs w:val="24"/>
                <w:lang w:eastAsia="uk-UA"/>
              </w:rPr>
              <w:t xml:space="preserve">підприємства, </w:t>
            </w:r>
            <w:r>
              <w:rPr>
                <w:rFonts w:ascii="Times New Roman" w:hAnsi="Times New Roman"/>
                <w:sz w:val="24"/>
                <w:szCs w:val="24"/>
                <w:lang w:eastAsia="uk-UA"/>
              </w:rPr>
              <w:t>фізичні особи</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shd w:fill="auto" w:val="clear"/>
              </w:rPr>
            </w:pPr>
            <w:r>
              <w:rPr>
                <w:rFonts w:eastAsia="Century Gothic" w:cs="Century Gothic" w:ascii="Times New Roman" w:hAnsi="Times New Roman"/>
                <w:b w:val="false"/>
                <w:bCs w:val="false"/>
                <w:sz w:val="24"/>
                <w:szCs w:val="24"/>
                <w:shd w:fill="auto" w:val="clear"/>
              </w:rPr>
              <w:t>Міський бюджет, власні кошти підприємств, установ, організацій та інші кошти не заборонені законодавством</w:t>
            </w:r>
          </w:p>
        </w:tc>
        <w:tc>
          <w:tcPr>
            <w:tcW w:w="1525"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end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Заміщення використання енергетичних ресурсів ВДЕ </w:t>
            </w:r>
          </w:p>
        </w:tc>
      </w:tr>
      <w:tr>
        <w:trPr/>
        <w:tc>
          <w:tcPr>
            <w:tcW w:w="2772"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М’які просвітницькі заходи</w:t>
            </w:r>
          </w:p>
        </w:tc>
        <w:tc>
          <w:tcPr>
            <w:tcW w:w="3061"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Проведення різноманітних тренінгів, навчань, виготовлення спеціалізованої літератури</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Комунальні установи, піприємства</w:t>
            </w:r>
          </w:p>
        </w:tc>
        <w:tc>
          <w:tcPr>
            <w:tcW w:w="1753" w:type="dxa"/>
            <w:tcBorders>
              <w:start w:val="single" w:sz="4" w:space="0" w:color="000000"/>
              <w:bottom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Місцевий бюджет, державний бюджет та інші </w:t>
            </w:r>
          </w:p>
        </w:tc>
        <w:tc>
          <w:tcPr>
            <w:tcW w:w="1525" w:type="dxa"/>
            <w:tcBorders>
              <w:start w:val="single" w:sz="4" w:space="0" w:color="000000"/>
              <w:bottom w:val="single" w:sz="4" w:space="0" w:color="000000"/>
            </w:tcBorders>
          </w:tcPr>
          <w:p>
            <w:pPr>
              <w:pStyle w:val="Normal"/>
              <w:ind w:firstLine="113"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2500</w:t>
            </w:r>
          </w:p>
        </w:tc>
        <w:tc>
          <w:tcPr>
            <w:tcW w:w="2558" w:type="dxa"/>
            <w:tcBorders>
              <w:start w:val="single" w:sz="4" w:space="0" w:color="000000"/>
              <w:bottom w:val="single" w:sz="4" w:space="0" w:color="000000"/>
              <w:end w:val="single" w:sz="4" w:space="0" w:color="000000"/>
            </w:tcBorders>
          </w:tcPr>
          <w:p>
            <w:pPr>
              <w:pStyle w:val="Normal"/>
              <w:ind w:hanging="0"/>
              <w:jc w:val="start"/>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Скорочення викидів від упровадження інформаційно просвітницьких заходів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Енергоефективні заходи у багатоквартирних житлових будівлях</w:t>
            </w:r>
          </w:p>
        </w:tc>
        <w:tc>
          <w:tcPr>
            <w:tcW w:w="3061"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Запланований захід спрямований на комплексну енергоефективну модернізацію багатоквартирного житлового будинку.</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Він поєднує три ключові напрями: скорочення тепловтрат, оптимізацію споживання електроенергії та інтеграцію відновлюваних джерел.</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Утеплення зовнішніх стін та верхнього перекриття забезпечить стабільний внутрішній мікроклімат, зменшення витрат на опалення та продовження терміну служби будівлі. Додатково буде проведено заміна освітлення у місцях загального користування на LED-світильники, що суттєво зменшить споживання електроенергії та витрати на обслуговування.</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Власники квартир, управителі будинків</w:t>
            </w:r>
          </w:p>
        </w:tc>
        <w:tc>
          <w:tcPr>
            <w:tcW w:w="1753"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Благодійні фонди, приватні кошти домовласників, інші кошти</w:t>
            </w:r>
          </w:p>
        </w:tc>
        <w:tc>
          <w:tcPr>
            <w:tcW w:w="1525"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shd w:fill="auto" w:val="clear"/>
                <w:lang w:eastAsia="uk-UA"/>
              </w:rPr>
              <w:t>ххх</w:t>
            </w:r>
          </w:p>
        </w:tc>
        <w:tc>
          <w:tcPr>
            <w:tcW w:w="2558"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Забезпечення енергозбереження та формування енергоефективного середовища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Реконструкція очисних споруд каналізації МКП "Покровводоканал"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c>
          <w:tcPr>
            <w:tcW w:w="3061" w:type="dxa"/>
            <w:tcBorders>
              <w:top w:val="single" w:sz="4" w:space="0" w:color="000000"/>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Відновлення, розвиток та модернізація інфраструктури централізованого водопостачання та водовідведення</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widowControl/>
              <w:suppressAutoHyphens w:val="true"/>
              <w:spacing w:lineRule="auto" w:line="276" w:before="0" w:after="0"/>
              <w:jc w:val="start"/>
              <w:rPr>
                <w:rFonts w:ascii="Times New Roman" w:hAnsi="Times New Roman" w:eastAsia="Times New Roman" w:cs="Times New Roman"/>
                <w:sz w:val="24"/>
                <w:szCs w:val="24"/>
                <w:lang w:val="uk-UA"/>
              </w:rPr>
            </w:pPr>
            <w:r>
              <w:rPr>
                <w:rFonts w:eastAsia="Times New Roman" w:cs="Times New Roman" w:ascii="Times New Roman" w:hAnsi="Times New Roman"/>
                <w:sz w:val="24"/>
                <w:szCs w:val="24"/>
                <w:lang w:val="uk-UA"/>
              </w:rPr>
              <w:t>Комунальні підприємства</w:t>
            </w:r>
          </w:p>
        </w:tc>
        <w:tc>
          <w:tcPr>
            <w:tcW w:w="1753" w:type="dxa"/>
            <w:tcBorders>
              <w:start w:val="single" w:sz="4" w:space="0" w:color="000000"/>
              <w:bottom w:val="single" w:sz="4" w:space="0" w:color="000000"/>
            </w:tcBorders>
          </w:tcPr>
          <w:p>
            <w:pPr>
              <w:pStyle w:val="Normal"/>
              <w:widowControl/>
              <w:suppressAutoHyphens w:val="true"/>
              <w:spacing w:lineRule="auto" w:line="276" w:before="0" w:after="0"/>
              <w:jc w:val="start"/>
              <w:rPr>
                <w:rFonts w:ascii="Times New Roman" w:hAnsi="Times New Roman" w:eastAsia="Times New Roman" w:cs="Times New Roman"/>
                <w:sz w:val="24"/>
                <w:szCs w:val="24"/>
                <w:lang w:val="uk-UA"/>
              </w:rPr>
            </w:pPr>
            <w:r>
              <w:rPr>
                <w:rFonts w:eastAsia="Times New Roman" w:cs="Times New Roman" w:ascii="Times New Roman" w:hAnsi="Times New Roman"/>
                <w:sz w:val="24"/>
                <w:szCs w:val="24"/>
                <w:lang w:val="uk-UA"/>
              </w:rPr>
              <w:t xml:space="preserve">Безповоротне фінансування. Власні кошти. Власні надходження (кошти) ініціатора проєкту </w:t>
            </w:r>
          </w:p>
        </w:tc>
        <w:tc>
          <w:tcPr>
            <w:tcW w:w="1525"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6"/>
                <w:szCs w:val="26"/>
                <w:lang w:eastAsia="uk-UA"/>
              </w:rPr>
              <w:t>374216,</w:t>
            </w:r>
            <w:r>
              <w:rPr>
                <w:rFonts w:eastAsia="Century Gothic" w:cs="Century Gothic" w:ascii="Times New Roman" w:hAnsi="Times New Roman"/>
                <w:b w:val="false"/>
                <w:bCs w:val="false"/>
                <w:color w:val="000000"/>
                <w:kern w:val="0"/>
                <w:sz w:val="26"/>
                <w:szCs w:val="26"/>
                <w:lang w:eastAsia="uk-UA"/>
              </w:rPr>
              <w:t>4</w:t>
            </w:r>
          </w:p>
        </w:tc>
        <w:tc>
          <w:tcPr>
            <w:tcW w:w="2558" w:type="dxa"/>
            <w:tcBorders>
              <w:start w:val="single" w:sz="4" w:space="0" w:color="000000"/>
              <w:bottom w:val="single" w:sz="4" w:space="0" w:color="000000"/>
              <w:end w:val="single" w:sz="4" w:space="0" w:color="000000"/>
            </w:tcBorders>
          </w:tcPr>
          <w:p>
            <w:pPr>
              <w:pStyle w:val="Heading4"/>
              <w:pBdr/>
              <w:spacing w:before="120" w:after="120"/>
              <w:ind w:hanging="0" w:start="0" w:end="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Модернізація для відповідності сучасним стандартам, Підвищення якості послуг</w:t>
            </w:r>
          </w:p>
          <w:p>
            <w:pPr>
              <w:pStyle w:val="Style20"/>
              <w:jc w:val="start"/>
              <w:rPr>
                <w:rFonts w:ascii="Times New Roman" w:hAnsi="Times New Roman" w:eastAsia="Century Gothic" w:cs="Century Gothic"/>
                <w:b w:val="false"/>
                <w:bCs w:val="false"/>
                <w:sz w:val="24"/>
                <w:szCs w:val="24"/>
              </w:rPr>
            </w:pPr>
            <w:r>
              <w:rPr/>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 xml:space="preserve">«Капітальний ремонт харчоблоку КОМУНАЛЬНОГО ЗАКЛАДУ «ЛІЦЕЙ № 6 ПОКРОВСЬКОЇ МІСЬКОЇ РАДИ ДНІПРОПЕТРОВСЬКОЇ ОБЛАСТІ»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c>
          <w:tcPr>
            <w:tcW w:w="3061"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w:t>
            </w:r>
            <w:r>
              <w:rPr>
                <w:rFonts w:eastAsia="Century Gothic" w:cs="Century Gothic" w:ascii="Times New Roman" w:hAnsi="Times New Roman"/>
                <w:b w:val="false"/>
                <w:bCs w:val="false"/>
                <w:sz w:val="24"/>
                <w:szCs w:val="24"/>
              </w:rPr>
              <w:t xml:space="preserve">одернізація харчоблоку КЗ " Ліцей №6" та створення сучасних, безпечних та енергоефективних умов для організації харчування учнів відповідно до чинних санітарно-гігієнічних вимог, технологічних стандартів та принципів системи НАССР </w:t>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Комунальні установи </w:t>
            </w:r>
            <w:r>
              <w:rPr>
                <w:rFonts w:eastAsia="Century Gothic" w:cs="Century Gothic" w:ascii="Times New Roman" w:hAnsi="Times New Roman"/>
                <w:b w:val="false"/>
                <w:bCs w:val="false"/>
                <w:color w:val="000000"/>
                <w:kern w:val="0"/>
                <w:sz w:val="24"/>
                <w:szCs w:val="24"/>
                <w:lang w:eastAsia="uk-UA"/>
              </w:rPr>
              <w:t>та заклади</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Місцевий</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інші</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бюджети</w:t>
            </w:r>
          </w:p>
        </w:tc>
        <w:tc>
          <w:tcPr>
            <w:tcW w:w="1525"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6"/>
                <w:szCs w:val="26"/>
                <w:lang w:eastAsia="uk-UA"/>
              </w:rPr>
              <w:t>11468,7</w:t>
            </w:r>
          </w:p>
        </w:tc>
        <w:tc>
          <w:tcPr>
            <w:tcW w:w="2558" w:type="dxa"/>
            <w:tcBorders>
              <w:start w:val="single" w:sz="4" w:space="0" w:color="000000"/>
              <w:bottom w:val="single" w:sz="4" w:space="0" w:color="000000"/>
              <w:end w:val="single" w:sz="4" w:space="0" w:color="000000"/>
            </w:tcBorders>
          </w:tcPr>
          <w:p>
            <w:pPr>
              <w:pStyle w:val="Heading4"/>
              <w:keepNext w:val="true"/>
              <w:pBdr/>
              <w:spacing w:before="0" w:after="0"/>
              <w:ind w:hanging="0" w:start="0" w:end="0"/>
              <w:jc w:val="start"/>
              <w:rPr>
                <w:rFonts w:ascii="Times New Roman" w:hAnsi="Times New Roman" w:eastAsia="Century Gothic" w:cs="Century Gothic"/>
                <w:b w:val="false"/>
                <w:bCs w:val="false"/>
              </w:rPr>
            </w:pPr>
            <w:r>
              <w:rPr>
                <w:rFonts w:eastAsia="Century Gothic" w:cs="Century Gothic" w:ascii="Times New Roman" w:hAnsi="Times New Roman"/>
                <w:b w:val="false"/>
                <w:bCs w:val="false"/>
              </w:rPr>
              <w:t>З</w:t>
            </w:r>
            <w:r>
              <w:rPr>
                <w:rFonts w:eastAsia="Century Gothic" w:cs="Century Gothic" w:ascii="Times New Roman" w:hAnsi="Times New Roman"/>
                <w:b w:val="false"/>
                <w:bCs w:val="false"/>
              </w:rPr>
              <w:t>абезпеч</w:t>
            </w:r>
            <w:r>
              <w:rPr>
                <w:rFonts w:eastAsia="Century Gothic" w:cs="Century Gothic" w:ascii="Times New Roman" w:hAnsi="Times New Roman"/>
                <w:b w:val="false"/>
                <w:bCs w:val="false"/>
              </w:rPr>
              <w:t>ення</w:t>
            </w:r>
            <w:r>
              <w:rPr>
                <w:rFonts w:eastAsia="Century Gothic" w:cs="Century Gothic" w:ascii="Times New Roman" w:hAnsi="Times New Roman"/>
                <w:b w:val="false"/>
                <w:bCs w:val="false"/>
              </w:rPr>
              <w:t xml:space="preserve"> оновлення інфраструктури, підвищення якості та безпечності харчування, зменшення енергоспоживання </w:t>
            </w:r>
            <w:r>
              <w:rPr>
                <w:rFonts w:eastAsia="Century Gothic" w:cs="Century Gothic" w:ascii="Times New Roman" w:hAnsi="Times New Roman"/>
                <w:b w:val="false"/>
                <w:bCs w:val="false"/>
              </w:rPr>
              <w:t>та</w:t>
            </w:r>
            <w:r>
              <w:rPr>
                <w:rFonts w:eastAsia="Century Gothic" w:cs="Century Gothic" w:ascii="Times New Roman" w:hAnsi="Times New Roman"/>
                <w:b w:val="false"/>
                <w:bCs w:val="false"/>
              </w:rPr>
              <w:t xml:space="preserve"> ефективн</w:t>
            </w:r>
            <w:r>
              <w:rPr>
                <w:rFonts w:eastAsia="Century Gothic" w:cs="Century Gothic" w:ascii="Times New Roman" w:hAnsi="Times New Roman"/>
                <w:b w:val="false"/>
                <w:bCs w:val="false"/>
              </w:rPr>
              <w:t>а</w:t>
            </w:r>
            <w:r>
              <w:rPr>
                <w:rFonts w:eastAsia="Century Gothic" w:cs="Century Gothic" w:ascii="Times New Roman" w:hAnsi="Times New Roman"/>
                <w:b w:val="false"/>
                <w:bCs w:val="false"/>
              </w:rPr>
              <w:t xml:space="preserve"> робот</w:t>
            </w:r>
            <w:r>
              <w:rPr>
                <w:rFonts w:eastAsia="Century Gothic" w:cs="Century Gothic" w:ascii="Times New Roman" w:hAnsi="Times New Roman"/>
                <w:b w:val="false"/>
                <w:bCs w:val="false"/>
              </w:rPr>
              <w:t>а</w:t>
            </w:r>
            <w:r>
              <w:rPr>
                <w:rFonts w:eastAsia="Century Gothic" w:cs="Century Gothic" w:ascii="Times New Roman" w:hAnsi="Times New Roman"/>
                <w:b w:val="false"/>
                <w:bCs w:val="false"/>
              </w:rPr>
              <w:t xml:space="preserve"> харчоблоку </w:t>
            </w:r>
          </w:p>
        </w:tc>
      </w:tr>
      <w:tr>
        <w:trPr/>
        <w:tc>
          <w:tcPr>
            <w:tcW w:w="2772" w:type="dxa"/>
            <w:tcBorders>
              <w:start w:val="single" w:sz="4" w:space="0" w:color="000000"/>
              <w:bottom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«Капітальний ремонт харчоблоку та обідньої зали КОМУНАЛЬНОГО ЗАКЛАДУ «ЛІЦЕЙ № 2 ПОКРОВСЬКОЇ МІСЬКОЇ РАДИ ДНІПРОПЕТРОВСЬКОЇ ОБЛАСТІ»</w:t>
            </w:r>
          </w:p>
        </w:tc>
        <w:tc>
          <w:tcPr>
            <w:tcW w:w="3061" w:type="dxa"/>
            <w:tcBorders>
              <w:start w:val="single" w:sz="4" w:space="0" w:color="000000"/>
              <w:bottom w:val="single" w:sz="4" w:space="0" w:color="000000"/>
              <w:end w:val="single" w:sz="4" w:space="0" w:color="000000"/>
            </w:tcBorders>
          </w:tcPr>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О</w:t>
            </w:r>
            <w:r>
              <w:rPr>
                <w:rFonts w:eastAsia="Century Gothic" w:cs="Century Gothic" w:ascii="Times New Roman" w:hAnsi="Times New Roman"/>
                <w:b w:val="false"/>
                <w:bCs w:val="false"/>
                <w:sz w:val="24"/>
                <w:szCs w:val="24"/>
              </w:rPr>
              <w:t xml:space="preserve">новлення приміщень, інженерних мереж та обладнання з метою забезпечення безпечних і сучасних умов організації харчування учнів. </w:t>
            </w:r>
            <w:r>
              <w:rPr>
                <w:rFonts w:eastAsia="Century Gothic" w:cs="Century Gothic" w:ascii="Times New Roman" w:hAnsi="Times New Roman"/>
                <w:b w:val="false"/>
                <w:bCs w:val="false"/>
                <w:sz w:val="24"/>
                <w:szCs w:val="24"/>
              </w:rPr>
              <w:t>П</w:t>
            </w:r>
            <w:r>
              <w:rPr>
                <w:rFonts w:eastAsia="Century Gothic" w:cs="Century Gothic" w:ascii="Times New Roman" w:hAnsi="Times New Roman"/>
                <w:b w:val="false"/>
                <w:bCs w:val="false"/>
                <w:sz w:val="24"/>
                <w:szCs w:val="24"/>
              </w:rPr>
              <w:t xml:space="preserve">окращення санітарно-гігієнічних умов, енергоефективності та якості освітнього середовища </w:t>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p>
            <w:pPr>
              <w:pStyle w:val="Style20"/>
              <w:jc w:val="start"/>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r>
          </w:p>
        </w:tc>
        <w:tc>
          <w:tcPr>
            <w:tcW w:w="1189" w:type="dxa"/>
            <w:tcBorders>
              <w:start w:val="single" w:sz="4" w:space="0" w:color="000000"/>
              <w:bottom w:val="single" w:sz="4" w:space="0" w:color="000000"/>
            </w:tcBorders>
          </w:tcPr>
          <w:p>
            <w:pPr>
              <w:pStyle w:val="Normal"/>
              <w:jc w:val="center"/>
              <w:rPr>
                <w:rFonts w:ascii="Times New Roman" w:hAnsi="Times New Roman"/>
                <w:b w:val="false"/>
                <w:bCs w:val="false"/>
                <w:sz w:val="24"/>
                <w:szCs w:val="24"/>
                <w:lang w:eastAsia="uk-UA"/>
              </w:rPr>
            </w:pPr>
            <w:r>
              <w:rPr>
                <w:rFonts w:ascii="Times New Roman" w:hAnsi="Times New Roman"/>
                <w:b w:val="false"/>
                <w:bCs w:val="false"/>
                <w:sz w:val="24"/>
                <w:szCs w:val="24"/>
                <w:lang w:eastAsia="uk-UA"/>
              </w:rPr>
              <w:t>202</w:t>
            </w:r>
            <w:r>
              <w:rPr>
                <w:rFonts w:ascii="Times New Roman" w:hAnsi="Times New Roman"/>
                <w:b w:val="false"/>
                <w:bCs w:val="false"/>
                <w:sz w:val="24"/>
                <w:szCs w:val="24"/>
                <w:lang w:eastAsia="uk-UA"/>
              </w:rPr>
              <w:t>6</w:t>
            </w:r>
            <w:r>
              <w:rPr>
                <w:rFonts w:ascii="Times New Roman" w:hAnsi="Times New Roman"/>
                <w:b w:val="false"/>
                <w:bCs w:val="false"/>
                <w:sz w:val="24"/>
                <w:szCs w:val="24"/>
                <w:lang w:eastAsia="uk-UA"/>
              </w:rPr>
              <w:t>-20</w:t>
            </w:r>
            <w:r>
              <w:rPr>
                <w:rFonts w:ascii="Times New Roman" w:hAnsi="Times New Roman"/>
                <w:b w:val="false"/>
                <w:bCs w:val="false"/>
                <w:sz w:val="24"/>
                <w:szCs w:val="24"/>
                <w:lang w:eastAsia="uk-UA"/>
              </w:rPr>
              <w:t>30</w:t>
            </w:r>
          </w:p>
        </w:tc>
        <w:tc>
          <w:tcPr>
            <w:tcW w:w="1712" w:type="dxa"/>
            <w:tcBorders>
              <w:start w:val="single" w:sz="4" w:space="0" w:color="000000"/>
              <w:bottom w:val="single" w:sz="4" w:space="0" w:color="000000"/>
            </w:tcBorders>
          </w:tcPr>
          <w:p>
            <w:pPr>
              <w:pStyle w:val="Normal"/>
              <w:ind w:hanging="0" w:start="57" w:end="0"/>
              <w:jc w:val="center"/>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 xml:space="preserve">Комунальні установи </w:t>
            </w:r>
            <w:r>
              <w:rPr>
                <w:rFonts w:eastAsia="Century Gothic" w:cs="Century Gothic" w:ascii="Times New Roman" w:hAnsi="Times New Roman"/>
                <w:b w:val="false"/>
                <w:bCs w:val="false"/>
                <w:color w:val="000000"/>
                <w:kern w:val="0"/>
                <w:sz w:val="24"/>
                <w:szCs w:val="24"/>
                <w:lang w:eastAsia="uk-UA"/>
              </w:rPr>
              <w:t>та заклади</w:t>
            </w:r>
          </w:p>
        </w:tc>
        <w:tc>
          <w:tcPr>
            <w:tcW w:w="1753" w:type="dxa"/>
            <w:tcBorders>
              <w:start w:val="single" w:sz="4" w:space="0" w:color="000000"/>
              <w:bottom w:val="single" w:sz="4" w:space="0" w:color="000000"/>
            </w:tcBorders>
          </w:tcPr>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Місцевий</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інші</w:t>
            </w:r>
          </w:p>
          <w:p>
            <w:pPr>
              <w:pStyle w:val="Style20"/>
              <w:jc w:val="center"/>
              <w:rPr>
                <w:rFonts w:ascii="Times New Roman" w:hAnsi="Times New Roman" w:eastAsia="Century Gothic" w:cs="Century Gothic"/>
                <w:b w:val="false"/>
                <w:bCs w:val="false"/>
                <w:sz w:val="24"/>
                <w:szCs w:val="24"/>
              </w:rPr>
            </w:pPr>
            <w:r>
              <w:rPr>
                <w:rFonts w:eastAsia="Century Gothic" w:cs="Century Gothic" w:ascii="Times New Roman" w:hAnsi="Times New Roman"/>
                <w:b w:val="false"/>
                <w:bCs w:val="false"/>
                <w:sz w:val="24"/>
                <w:szCs w:val="24"/>
              </w:rPr>
              <w:t>бюджети</w:t>
            </w:r>
          </w:p>
        </w:tc>
        <w:tc>
          <w:tcPr>
            <w:tcW w:w="1525" w:type="dxa"/>
            <w:tcBorders>
              <w:start w:val="single" w:sz="4" w:space="0" w:color="000000"/>
              <w:bottom w:val="single" w:sz="4" w:space="0" w:color="000000"/>
            </w:tcBorders>
          </w:tcPr>
          <w:p>
            <w:pPr>
              <w:pStyle w:val="Normal"/>
              <w:ind w:hanging="0"/>
              <w:jc w:val="center"/>
              <w:rPr>
                <w:rFonts w:ascii="Times New Roman" w:hAnsi="Times New Roman"/>
                <w:sz w:val="26"/>
                <w:szCs w:val="26"/>
              </w:rPr>
            </w:pPr>
            <w:r>
              <w:rPr>
                <w:rFonts w:eastAsia="Century Gothic" w:cs="Century Gothic" w:ascii="Times New Roman" w:hAnsi="Times New Roman"/>
                <w:b w:val="false"/>
                <w:bCs w:val="false"/>
                <w:color w:val="000000"/>
                <w:kern w:val="0"/>
                <w:sz w:val="26"/>
                <w:szCs w:val="26"/>
                <w:lang w:eastAsia="uk-UA"/>
              </w:rPr>
              <w:t>1</w:t>
            </w:r>
            <w:r>
              <w:rPr>
                <w:rFonts w:eastAsia="Century Gothic" w:cs="Century Gothic" w:ascii="Times New Roman" w:hAnsi="Times New Roman"/>
                <w:b w:val="false"/>
                <w:bCs w:val="false"/>
                <w:color w:val="000000"/>
                <w:kern w:val="0"/>
                <w:sz w:val="26"/>
                <w:szCs w:val="26"/>
                <w:lang w:eastAsia="uk-UA"/>
              </w:rPr>
              <w:t>4274</w:t>
            </w:r>
            <w:r>
              <w:rPr>
                <w:rFonts w:eastAsia="Century Gothic" w:cs="Century Gothic" w:ascii="Times New Roman" w:hAnsi="Times New Roman"/>
                <w:b w:val="false"/>
                <w:bCs w:val="false"/>
                <w:color w:val="000000"/>
                <w:kern w:val="0"/>
                <w:sz w:val="26"/>
                <w:szCs w:val="26"/>
                <w:lang w:eastAsia="uk-UA"/>
              </w:rPr>
              <w:t>,</w:t>
            </w:r>
            <w:r>
              <w:rPr>
                <w:rFonts w:eastAsia="Century Gothic" w:cs="Century Gothic" w:ascii="Times New Roman" w:hAnsi="Times New Roman"/>
                <w:b w:val="false"/>
                <w:bCs w:val="false"/>
                <w:color w:val="000000"/>
                <w:kern w:val="0"/>
                <w:sz w:val="26"/>
                <w:szCs w:val="26"/>
                <w:lang w:eastAsia="uk-UA"/>
              </w:rPr>
              <w:t>3</w:t>
            </w:r>
          </w:p>
        </w:tc>
        <w:tc>
          <w:tcPr>
            <w:tcW w:w="2558" w:type="dxa"/>
            <w:tcBorders>
              <w:start w:val="single" w:sz="4" w:space="0" w:color="000000"/>
              <w:bottom w:val="single" w:sz="4" w:space="0" w:color="000000"/>
              <w:end w:val="single" w:sz="4" w:space="0" w:color="000000"/>
            </w:tcBorders>
          </w:tcPr>
          <w:p>
            <w:pPr>
              <w:pStyle w:val="Heading4"/>
              <w:pBdr/>
              <w:spacing w:before="0" w:after="0"/>
              <w:ind w:hanging="0" w:start="0" w:end="0"/>
              <w:jc w:val="start"/>
              <w:rPr>
                <w:rFonts w:ascii="Times New Roman" w:hAnsi="Times New Roman" w:eastAsia="Century Gothic" w:cs="Century Gothic"/>
                <w:b w:val="false"/>
                <w:bCs w:val="false"/>
              </w:rPr>
            </w:pPr>
            <w:r>
              <w:rPr>
                <w:rFonts w:eastAsia="Century Gothic" w:cs="Century Gothic" w:ascii="Times New Roman" w:hAnsi="Times New Roman"/>
                <w:b w:val="false"/>
                <w:bCs w:val="false"/>
              </w:rPr>
              <w:t xml:space="preserve">Забезпечення </w:t>
            </w:r>
            <w:r>
              <w:rPr>
                <w:rFonts w:eastAsia="Century Gothic" w:cs="Century Gothic" w:ascii="Times New Roman" w:hAnsi="Times New Roman"/>
                <w:b w:val="false"/>
                <w:bCs w:val="false"/>
              </w:rPr>
              <w:t>оновлен</w:t>
            </w:r>
            <w:r>
              <w:rPr>
                <w:rFonts w:eastAsia="Century Gothic" w:cs="Century Gothic" w:ascii="Times New Roman" w:hAnsi="Times New Roman"/>
                <w:b w:val="false"/>
                <w:bCs w:val="false"/>
              </w:rPr>
              <w:t>ня</w:t>
            </w:r>
            <w:r>
              <w:rPr>
                <w:rFonts w:eastAsia="Century Gothic" w:cs="Century Gothic" w:ascii="Times New Roman" w:hAnsi="Times New Roman"/>
                <w:b w:val="false"/>
                <w:bCs w:val="false"/>
              </w:rPr>
              <w:t xml:space="preserve"> інженерн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xml:space="preserve"> мереж. </w:t>
            </w:r>
            <w:r>
              <w:rPr>
                <w:rFonts w:eastAsia="Century Gothic" w:cs="Century Gothic" w:ascii="Times New Roman" w:hAnsi="Times New Roman"/>
                <w:b w:val="false"/>
                <w:bCs w:val="false"/>
              </w:rPr>
              <w:t>М</w:t>
            </w:r>
            <w:r>
              <w:rPr>
                <w:rFonts w:eastAsia="Century Gothic" w:cs="Century Gothic" w:ascii="Times New Roman" w:hAnsi="Times New Roman"/>
                <w:b w:val="false"/>
                <w:bCs w:val="false"/>
              </w:rPr>
              <w:t>одерніз</w:t>
            </w:r>
            <w:r>
              <w:rPr>
                <w:rFonts w:eastAsia="Century Gothic" w:cs="Century Gothic" w:ascii="Times New Roman" w:hAnsi="Times New Roman"/>
                <w:b w:val="false"/>
                <w:bCs w:val="false"/>
              </w:rPr>
              <w:t xml:space="preserve">ація </w:t>
            </w:r>
            <w:r>
              <w:rPr>
                <w:rFonts w:eastAsia="Century Gothic" w:cs="Century Gothic" w:ascii="Times New Roman" w:hAnsi="Times New Roman"/>
                <w:b w:val="false"/>
                <w:bCs w:val="false"/>
              </w:rPr>
              <w:t xml:space="preserve">обладнання, </w:t>
            </w:r>
            <w:r>
              <w:rPr>
                <w:rFonts w:eastAsia="Century Gothic" w:cs="Century Gothic" w:ascii="Times New Roman" w:hAnsi="Times New Roman"/>
                <w:b w:val="false"/>
                <w:bCs w:val="false"/>
              </w:rPr>
              <w:t xml:space="preserve">ремонт </w:t>
            </w:r>
            <w:r>
              <w:rPr>
                <w:rFonts w:eastAsia="Century Gothic" w:cs="Century Gothic" w:ascii="Times New Roman" w:hAnsi="Times New Roman"/>
                <w:b w:val="false"/>
                <w:bCs w:val="false"/>
              </w:rPr>
              <w:t xml:space="preserve">приміщення харчоблоку й обідньої зали. </w:t>
            </w:r>
            <w:r>
              <w:rPr>
                <w:rFonts w:eastAsia="Century Gothic" w:cs="Century Gothic" w:ascii="Times New Roman" w:hAnsi="Times New Roman"/>
                <w:b w:val="false"/>
                <w:bCs w:val="false"/>
              </w:rPr>
              <w:t>С</w:t>
            </w:r>
            <w:r>
              <w:rPr>
                <w:rFonts w:eastAsia="Century Gothic" w:cs="Century Gothic" w:ascii="Times New Roman" w:hAnsi="Times New Roman"/>
                <w:b w:val="false"/>
                <w:bCs w:val="false"/>
              </w:rPr>
              <w:t>творен</w:t>
            </w:r>
            <w:r>
              <w:rPr>
                <w:rFonts w:eastAsia="Century Gothic" w:cs="Century Gothic" w:ascii="Times New Roman" w:hAnsi="Times New Roman"/>
                <w:b w:val="false"/>
                <w:bCs w:val="false"/>
              </w:rPr>
              <w:t>ня</w:t>
            </w:r>
            <w:r>
              <w:rPr>
                <w:rFonts w:eastAsia="Century Gothic" w:cs="Century Gothic" w:ascii="Times New Roman" w:hAnsi="Times New Roman"/>
                <w:b w:val="false"/>
                <w:bCs w:val="false"/>
              </w:rPr>
              <w:t xml:space="preserve"> безпечн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сучасн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xml:space="preserve"> та енергоефективн</w:t>
            </w:r>
            <w:r>
              <w:rPr>
                <w:rFonts w:eastAsia="Century Gothic" w:cs="Century Gothic" w:ascii="Times New Roman" w:hAnsi="Times New Roman"/>
                <w:b w:val="false"/>
                <w:bCs w:val="false"/>
              </w:rPr>
              <w:t>их</w:t>
            </w:r>
            <w:r>
              <w:rPr>
                <w:rFonts w:eastAsia="Century Gothic" w:cs="Century Gothic" w:ascii="Times New Roman" w:hAnsi="Times New Roman"/>
                <w:b w:val="false"/>
                <w:bCs w:val="false"/>
              </w:rPr>
              <w:t xml:space="preserve"> умов для організації харчування, підвищен</w:t>
            </w:r>
            <w:r>
              <w:rPr>
                <w:rFonts w:eastAsia="Century Gothic" w:cs="Century Gothic" w:ascii="Times New Roman" w:hAnsi="Times New Roman"/>
                <w:b w:val="false"/>
                <w:bCs w:val="false"/>
              </w:rPr>
              <w:t>ня</w:t>
            </w:r>
            <w:r>
              <w:rPr>
                <w:rFonts w:eastAsia="Century Gothic" w:cs="Century Gothic" w:ascii="Times New Roman" w:hAnsi="Times New Roman"/>
                <w:b w:val="false"/>
                <w:bCs w:val="false"/>
              </w:rPr>
              <w:t xml:space="preserve"> як</w:t>
            </w:r>
            <w:r>
              <w:rPr>
                <w:rFonts w:eastAsia="Century Gothic" w:cs="Century Gothic" w:ascii="Times New Roman" w:hAnsi="Times New Roman"/>
                <w:b w:val="false"/>
                <w:bCs w:val="false"/>
              </w:rPr>
              <w:t>о</w:t>
            </w:r>
            <w:r>
              <w:rPr>
                <w:rFonts w:eastAsia="Century Gothic" w:cs="Century Gothic" w:ascii="Times New Roman" w:hAnsi="Times New Roman"/>
                <w:b w:val="false"/>
                <w:bCs w:val="false"/>
              </w:rPr>
              <w:t>ст</w:t>
            </w:r>
            <w:r>
              <w:rPr>
                <w:rFonts w:eastAsia="Century Gothic" w:cs="Century Gothic" w:ascii="Times New Roman" w:hAnsi="Times New Roman"/>
                <w:b w:val="false"/>
                <w:bCs w:val="false"/>
              </w:rPr>
              <w:t>і</w:t>
            </w:r>
            <w:r>
              <w:rPr>
                <w:rFonts w:eastAsia="Century Gothic" w:cs="Century Gothic" w:ascii="Times New Roman" w:hAnsi="Times New Roman"/>
                <w:b w:val="false"/>
                <w:bCs w:val="false"/>
              </w:rPr>
              <w:t xml:space="preserve"> послуг для учнів і працівників закладу </w:t>
            </w:r>
          </w:p>
        </w:tc>
      </w:tr>
    </w:tbl>
    <w:p>
      <w:pPr>
        <w:pStyle w:val="Normal"/>
        <w:ind w:firstLine="567"/>
        <w:jc w:val="center"/>
        <w:rPr>
          <w:rFonts w:ascii="Times New Roman" w:hAnsi="Times New Roman"/>
          <w:sz w:val="26"/>
          <w:szCs w:val="26"/>
        </w:rPr>
        <w:sectPr>
          <w:headerReference w:type="default" r:id="rId35"/>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bCs/>
          <w:color w:val="000000"/>
          <w:kern w:val="0"/>
          <w:sz w:val="28"/>
          <w:szCs w:val="28"/>
          <w:shd w:fill="FFFF00" w:val="clear"/>
          <w:lang w:eastAsia="uk-UA"/>
        </w:rPr>
      </w:r>
    </w:p>
    <w:p>
      <w:pPr>
        <w:pStyle w:val="BodyText"/>
        <w:ind w:firstLine="567"/>
        <w:jc w:val="center"/>
        <w:rPr>
          <w:rFonts w:ascii="Times New Roman" w:hAnsi="Times New Roman"/>
          <w:sz w:val="26"/>
          <w:szCs w:val="26"/>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2</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 </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«Вихідний стан енергетичного розвитку території територіальної громади»</w:t>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Вихідні дані Управління освіти виконавчого комітету Покровської міської ради Дніпропетровської області, що використовувались для розроблення муніципального енергетичного плану</w:t>
      </w:r>
    </w:p>
    <w:p>
      <w:pPr>
        <w:pStyle w:val="Normal"/>
        <w:spacing w:lineRule="auto" w:line="240" w:before="0" w:after="0"/>
        <w:jc w:val="end"/>
        <w:rPr>
          <w:rFonts w:ascii="Times New Roman" w:hAnsi="Times New Roman"/>
          <w:sz w:val="22"/>
          <w:szCs w:val="22"/>
        </w:rPr>
      </w:pPr>
      <w:r>
        <w:rPr>
          <w:rFonts w:ascii="Times New Roman" w:hAnsi="Times New Roman"/>
          <w:sz w:val="22"/>
          <w:szCs w:val="22"/>
        </w:rPr>
        <w:t>Таблиця 1</w:t>
      </w:r>
    </w:p>
    <w:p>
      <w:pPr>
        <w:pStyle w:val="Normal"/>
        <w:spacing w:lineRule="auto" w:line="240" w:before="0" w:after="0"/>
        <w:jc w:val="center"/>
        <w:rPr>
          <w:rFonts w:ascii="Times New Roman" w:hAnsi="Times New Roman"/>
          <w:b w:val="false"/>
          <w:bCs w:val="false"/>
          <w:sz w:val="24"/>
          <w:szCs w:val="24"/>
        </w:rPr>
      </w:pPr>
      <w:r>
        <w:rPr>
          <w:rFonts w:ascii="Times New Roman" w:hAnsi="Times New Roman"/>
          <w:b w:val="false"/>
          <w:bCs w:val="false"/>
          <w:sz w:val="24"/>
          <w:szCs w:val="24"/>
        </w:rPr>
        <w:t xml:space="preserve"> </w:t>
      </w:r>
      <w:r>
        <w:rPr>
          <w:rFonts w:ascii="Times New Roman" w:hAnsi="Times New Roman"/>
          <w:b w:val="false"/>
          <w:bCs w:val="false"/>
          <w:sz w:val="24"/>
          <w:szCs w:val="24"/>
        </w:rPr>
        <w:t xml:space="preserve">Кількість та площа будівель </w:t>
      </w:r>
    </w:p>
    <w:tbl>
      <w:tblPr>
        <w:tblW w:w="9585" w:type="dxa"/>
        <w:jc w:val="start"/>
        <w:tblInd w:w="-5" w:type="dxa"/>
        <w:tblLayout w:type="fixed"/>
        <w:tblCellMar>
          <w:top w:w="55" w:type="dxa"/>
          <w:start w:w="55" w:type="dxa"/>
          <w:bottom w:w="55" w:type="dxa"/>
          <w:end w:w="55" w:type="dxa"/>
        </w:tblCellMar>
      </w:tblPr>
      <w:tblGrid>
        <w:gridCol w:w="1695"/>
        <w:gridCol w:w="1016"/>
        <w:gridCol w:w="1081"/>
        <w:gridCol w:w="1083"/>
        <w:gridCol w:w="1216"/>
        <w:gridCol w:w="1169"/>
        <w:gridCol w:w="1084"/>
        <w:gridCol w:w="1241"/>
      </w:tblGrid>
      <w:tr>
        <w:trPr/>
        <w:tc>
          <w:tcPr>
            <w:tcW w:w="16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01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108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08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21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116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м</w:t>
            </w:r>
            <w:r>
              <w:rPr>
                <w:rFonts w:eastAsia="Times New Roman" w:cs="Times New Roman" w:ascii="Times New Roman" w:hAnsi="Times New Roman"/>
                <w:b/>
                <w:bCs/>
                <w:sz w:val="20"/>
                <w:szCs w:val="20"/>
              </w:rPr>
              <w:t>²</w:t>
            </w:r>
          </w:p>
        </w:tc>
        <w:tc>
          <w:tcPr>
            <w:tcW w:w="10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 м</w:t>
            </w:r>
            <w:r>
              <w:rPr>
                <w:rFonts w:eastAsia="Times New Roman" w:cs="Times New Roman" w:ascii="Times New Roman" w:hAnsi="Times New Roman"/>
                <w:b/>
                <w:bCs/>
                <w:sz w:val="20"/>
                <w:szCs w:val="20"/>
              </w:rPr>
              <w:t>²</w:t>
            </w:r>
          </w:p>
        </w:tc>
        <w:tc>
          <w:tcPr>
            <w:tcW w:w="12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1382,1</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1382,1</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Д</w:t>
            </w:r>
            <w:r>
              <w:rPr>
                <w:rFonts w:ascii="Times New Roman" w:hAnsi="Times New Roman"/>
                <w:b/>
                <w:bCs/>
                <w:sz w:val="20"/>
                <w:szCs w:val="20"/>
              </w:rPr>
              <w:t xml:space="preserve">ОШКІЛЬНІ </w:t>
            </w:r>
            <w:r>
              <w:rPr>
                <w:rFonts w:ascii="Times New Roman" w:hAnsi="Times New Roman"/>
                <w:b/>
                <w:bCs/>
                <w:sz w:val="20"/>
                <w:szCs w:val="20"/>
              </w:rPr>
              <w:t>Н</w:t>
            </w:r>
            <w:r>
              <w:rPr>
                <w:rFonts w:ascii="Times New Roman" w:hAnsi="Times New Roman"/>
                <w:b/>
                <w:bCs/>
                <w:sz w:val="20"/>
                <w:szCs w:val="20"/>
              </w:rPr>
              <w:t xml:space="preserve">АВЧАЛЬНІ </w:t>
            </w:r>
            <w:r>
              <w:rPr>
                <w:rFonts w:ascii="Times New Roman" w:hAnsi="Times New Roman"/>
                <w:b/>
                <w:bCs/>
                <w:sz w:val="20"/>
                <w:szCs w:val="20"/>
              </w:rPr>
              <w:t>З</w:t>
            </w:r>
            <w:r>
              <w:rPr>
                <w:rFonts w:ascii="Times New Roman" w:hAnsi="Times New Roman"/>
                <w:b/>
                <w:bCs/>
                <w:sz w:val="20"/>
                <w:szCs w:val="20"/>
              </w:rPr>
              <w:t>АКЛАДИ</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23963,5</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23853,2</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99,5</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З</w:t>
            </w:r>
            <w:r>
              <w:rPr>
                <w:rFonts w:ascii="Times New Roman" w:hAnsi="Times New Roman"/>
                <w:b/>
                <w:bCs/>
                <w:sz w:val="20"/>
                <w:szCs w:val="20"/>
              </w:rPr>
              <w:t xml:space="preserve">АКЛАДИ </w:t>
            </w:r>
            <w:r>
              <w:rPr>
                <w:rFonts w:ascii="Times New Roman" w:hAnsi="Times New Roman"/>
                <w:b/>
                <w:bCs/>
                <w:sz w:val="20"/>
                <w:szCs w:val="20"/>
              </w:rPr>
              <w:t>З</w:t>
            </w:r>
            <w:r>
              <w:rPr>
                <w:rFonts w:ascii="Times New Roman" w:hAnsi="Times New Roman"/>
                <w:b/>
                <w:bCs/>
                <w:sz w:val="20"/>
                <w:szCs w:val="20"/>
              </w:rPr>
              <w:t xml:space="preserve">АГАЛЬНОЇ </w:t>
            </w:r>
            <w:r>
              <w:rPr>
                <w:rFonts w:ascii="Times New Roman" w:hAnsi="Times New Roman"/>
                <w:b/>
                <w:bCs/>
                <w:sz w:val="20"/>
                <w:szCs w:val="20"/>
              </w:rPr>
              <w:t>С</w:t>
            </w:r>
            <w:r>
              <w:rPr>
                <w:rFonts w:ascii="Times New Roman" w:hAnsi="Times New Roman"/>
                <w:b/>
                <w:bCs/>
                <w:sz w:val="20"/>
                <w:szCs w:val="20"/>
              </w:rPr>
              <w:t>ЕРЕДНЬОЇ ОСВІТИ</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47675,9</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43733,7</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91,7</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З</w:t>
            </w:r>
            <w:r>
              <w:rPr>
                <w:rFonts w:ascii="Times New Roman" w:hAnsi="Times New Roman"/>
                <w:b/>
                <w:bCs/>
                <w:sz w:val="20"/>
                <w:szCs w:val="20"/>
              </w:rPr>
              <w:t xml:space="preserve">АКЛАДИ </w:t>
            </w:r>
            <w:r>
              <w:rPr>
                <w:rFonts w:ascii="Times New Roman" w:hAnsi="Times New Roman"/>
                <w:b/>
                <w:bCs/>
                <w:sz w:val="20"/>
                <w:szCs w:val="20"/>
              </w:rPr>
              <w:t>ПОЗАШКІЛЬ-НОЇ</w:t>
            </w:r>
            <w:r>
              <w:rPr>
                <w:rFonts w:ascii="Times New Roman" w:hAnsi="Times New Roman"/>
                <w:b/>
                <w:bCs/>
                <w:sz w:val="20"/>
                <w:szCs w:val="20"/>
              </w:rPr>
              <w:t xml:space="preserve"> ОСВІТИ</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8728,8</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8016,4</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91,8</w:t>
            </w:r>
          </w:p>
        </w:tc>
      </w:tr>
      <w:tr>
        <w:trPr/>
        <w:tc>
          <w:tcPr>
            <w:tcW w:w="1695"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ЗАКЛАДИ </w:t>
            </w:r>
            <w:r>
              <w:rPr>
                <w:rFonts w:ascii="Times New Roman" w:hAnsi="Times New Roman"/>
                <w:b/>
                <w:bCs/>
                <w:sz w:val="20"/>
                <w:szCs w:val="20"/>
              </w:rPr>
              <w:t>СПОРТ</w:t>
            </w:r>
            <w:r>
              <w:rPr>
                <w:rFonts w:ascii="Times New Roman" w:hAnsi="Times New Roman"/>
                <w:b/>
                <w:bCs/>
                <w:sz w:val="20"/>
                <w:szCs w:val="20"/>
              </w:rPr>
              <w:t>ИВНО-ГО ПРИЗНАЧЕННЯ</w:t>
            </w:r>
          </w:p>
        </w:tc>
        <w:tc>
          <w:tcPr>
            <w:tcW w:w="10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81"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8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216"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16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3181,2</w:t>
            </w:r>
          </w:p>
        </w:tc>
        <w:tc>
          <w:tcPr>
            <w:tcW w:w="10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3181,</w:t>
            </w:r>
            <w:r>
              <w:rPr>
                <w:rFonts w:ascii="Times New Roman" w:hAnsi="Times New Roman"/>
                <w:sz w:val="20"/>
                <w:szCs w:val="20"/>
              </w:rPr>
              <w:t>2</w:t>
            </w:r>
          </w:p>
        </w:tc>
        <w:tc>
          <w:tcPr>
            <w:tcW w:w="1241"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bl>
    <w:p>
      <w:pPr>
        <w:pStyle w:val="Normal"/>
        <w:spacing w:before="0" w:after="0"/>
        <w:jc w:val="center"/>
        <w:rPr>
          <w:rFonts w:eastAsia="Century Gothic" w:cs="Century Gothic"/>
          <w:kern w:val="0"/>
          <w:lang w:eastAsia="uk-UA"/>
        </w:rPr>
      </w:pPr>
      <w:r>
        <w:rPr>
          <w:rFonts w:ascii="Times New Roman" w:hAnsi="Times New Roman"/>
          <w:sz w:val="22"/>
          <w:szCs w:val="22"/>
        </w:rPr>
      </w:r>
    </w:p>
    <w:p>
      <w:pPr>
        <w:pStyle w:val="Normal"/>
        <w:spacing w:lineRule="auto" w:line="259" w:before="0" w:after="0"/>
        <w:jc w:val="end"/>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2</w:t>
      </w:r>
      <w:r>
        <w:rPr>
          <w:rFonts w:eastAsia="Century Gothic" w:cs="Century Gothic" w:ascii="Times New Roman" w:hAnsi="Times New Roman"/>
          <w:kern w:val="0"/>
          <w:sz w:val="24"/>
          <w:szCs w:val="24"/>
          <w:lang w:eastAsia="uk-UA"/>
        </w:rPr>
        <w:t xml:space="preserve">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 xml:space="preserve">Обсяги споживання енергоресурсів </w:t>
      </w:r>
    </w:p>
    <w:tbl>
      <w:tblPr>
        <w:tblW w:w="9408" w:type="dxa"/>
        <w:jc w:val="start"/>
        <w:tblInd w:w="4" w:type="dxa"/>
        <w:tblLayout w:type="fixed"/>
        <w:tblCellMar>
          <w:top w:w="55" w:type="dxa"/>
          <w:start w:w="55" w:type="dxa"/>
          <w:bottom w:w="55" w:type="dxa"/>
          <w:end w:w="55" w:type="dxa"/>
        </w:tblCellMar>
      </w:tblPr>
      <w:tblGrid>
        <w:gridCol w:w="1935"/>
        <w:gridCol w:w="1860"/>
        <w:gridCol w:w="1980"/>
        <w:gridCol w:w="2040"/>
        <w:gridCol w:w="1593"/>
      </w:tblGrid>
      <w:tr>
        <w:trPr>
          <w:trHeight w:val="26" w:hRule="atLeast"/>
        </w:trPr>
        <w:tc>
          <w:tcPr>
            <w:tcW w:w="193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860"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613"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1935" w:type="dxa"/>
            <w:vMerge w:val="continue"/>
            <w:tcBorders>
              <w:top w:val="single" w:sz="4" w:space="0" w:color="000000"/>
              <w:start w:val="single" w:sz="4" w:space="0" w:color="000000"/>
              <w:bottom w:val="single" w:sz="4" w:space="0" w:color="000000"/>
            </w:tcBorders>
          </w:tcPr>
          <w:p>
            <w:pPr>
              <w:pStyle w:val="Normal"/>
              <w:rPr/>
            </w:pPr>
            <w:r>
              <w:rPr/>
            </w:r>
          </w:p>
        </w:tc>
        <w:tc>
          <w:tcPr>
            <w:tcW w:w="1860"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204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Електроенергія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МВт*год</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767,26</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609,75</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549,74</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Природний газ</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тис.м</w:t>
            </w:r>
            <w:r>
              <w:rPr>
                <w:rFonts w:eastAsia="Times New Roman" w:cs="Times New Roman" w:ascii="Times New Roman" w:hAnsi="Times New Roman"/>
                <w:b/>
                <w:bCs/>
                <w:sz w:val="24"/>
                <w:szCs w:val="24"/>
              </w:rPr>
              <w:t>³</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69,12</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175,99</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147,99</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Теплова енергія на опалення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Гкал</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4441,37</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4526,57</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5790,11</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Дрова</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18,11</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9,72</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7,86</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Вугілля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132,8</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104,56</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49,9</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Бензин</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7,7</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5,43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2,72</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Дизель</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0,13</w:t>
            </w:r>
          </w:p>
        </w:tc>
        <w:tc>
          <w:tcPr>
            <w:tcW w:w="204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0,13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0,91</w:t>
            </w:r>
          </w:p>
        </w:tc>
      </w:tr>
    </w:tbl>
    <w:p>
      <w:pPr>
        <w:pStyle w:val="Normal"/>
        <w:spacing w:before="0" w:after="0"/>
        <w:jc w:val="end"/>
        <w:rPr>
          <w:rFonts w:ascii="Times New Roman" w:hAnsi="Times New Roman"/>
          <w:color w:val="000000"/>
          <w:sz w:val="22"/>
          <w:szCs w:val="22"/>
        </w:rPr>
      </w:pPr>
      <w:r>
        <w:rPr>
          <w:rFonts w:ascii="Times New Roman" w:hAnsi="Times New Roman"/>
          <w:color w:val="000000"/>
          <w:sz w:val="22"/>
          <w:szCs w:val="22"/>
        </w:rPr>
      </w:r>
    </w:p>
    <w:p>
      <w:pPr>
        <w:pStyle w:val="Normal"/>
        <w:spacing w:before="0" w:after="0"/>
        <w:jc w:val="end"/>
        <w:rPr>
          <w:rFonts w:ascii="Times New Roman" w:hAnsi="Times New Roman"/>
          <w:color w:val="000000"/>
          <w:sz w:val="22"/>
          <w:szCs w:val="22"/>
        </w:rPr>
      </w:pPr>
      <w:r>
        <w:rPr>
          <w:rFonts w:ascii="Times New Roman" w:hAnsi="Times New Roman"/>
          <w:color w:val="000000"/>
          <w:sz w:val="22"/>
          <w:szCs w:val="22"/>
        </w:rPr>
      </w:r>
    </w:p>
    <w:p>
      <w:pPr>
        <w:pStyle w:val="Normal"/>
        <w:spacing w:lineRule="auto" w:line="259" w:before="0" w:after="0"/>
        <w:jc w:val="end"/>
        <w:rPr>
          <w:rFonts w:eastAsia="Century Gothic" w:cs="Century Gothic"/>
          <w:kern w:val="0"/>
          <w:lang w:eastAsia="uk-UA"/>
        </w:rPr>
      </w:pPr>
      <w:r>
        <w:rPr>
          <w:rFonts w:ascii="Times New Roman" w:hAnsi="Times New Roman"/>
          <w:sz w:val="24"/>
          <w:szCs w:val="24"/>
        </w:rPr>
      </w:r>
    </w:p>
    <w:p>
      <w:pPr>
        <w:pStyle w:val="Normal"/>
        <w:spacing w:lineRule="auto" w:line="259" w:before="0" w:after="0"/>
        <w:jc w:val="end"/>
        <w:rPr>
          <w:rFonts w:eastAsia="Century Gothic" w:cs="Century Gothic"/>
          <w:kern w:val="0"/>
          <w:lang w:eastAsia="uk-UA"/>
        </w:rPr>
      </w:pPr>
      <w:r>
        <w:rPr>
          <w:rFonts w:ascii="Times New Roman" w:hAnsi="Times New Roman"/>
          <w:sz w:val="24"/>
          <w:szCs w:val="24"/>
        </w:rPr>
      </w:r>
    </w:p>
    <w:p>
      <w:pPr>
        <w:pStyle w:val="Normal"/>
        <w:spacing w:lineRule="auto" w:line="259" w:before="0" w:after="0"/>
        <w:jc w:val="end"/>
        <w:rPr>
          <w:rFonts w:ascii="Times New Roman" w:hAnsi="Times New Roman"/>
          <w:sz w:val="24"/>
          <w:szCs w:val="24"/>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3</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Тарифи на комунальні послуги</w:t>
      </w:r>
    </w:p>
    <w:tbl>
      <w:tblPr>
        <w:tblW w:w="9660" w:type="dxa"/>
        <w:jc w:val="start"/>
        <w:tblInd w:w="-113" w:type="dxa"/>
        <w:tblLayout w:type="fixed"/>
        <w:tblCellMar>
          <w:top w:w="55" w:type="dxa"/>
          <w:start w:w="55" w:type="dxa"/>
          <w:bottom w:w="55" w:type="dxa"/>
          <w:end w:w="55" w:type="dxa"/>
        </w:tblCellMar>
      </w:tblPr>
      <w:tblGrid>
        <w:gridCol w:w="2610"/>
        <w:gridCol w:w="1365"/>
        <w:gridCol w:w="1755"/>
        <w:gridCol w:w="1815"/>
        <w:gridCol w:w="2115"/>
      </w:tblGrid>
      <w:tr>
        <w:trPr>
          <w:trHeight w:val="26" w:hRule="atLeast"/>
        </w:trPr>
        <w:tc>
          <w:tcPr>
            <w:tcW w:w="2610"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365"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685"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2610" w:type="dxa"/>
            <w:vMerge w:val="continue"/>
            <w:tcBorders>
              <w:top w:val="single" w:sz="4" w:space="0" w:color="000000"/>
              <w:start w:val="single" w:sz="4" w:space="0" w:color="000000"/>
              <w:bottom w:val="single" w:sz="4" w:space="0" w:color="000000"/>
            </w:tcBorders>
          </w:tcPr>
          <w:p>
            <w:pPr>
              <w:pStyle w:val="Normal"/>
              <w:rPr/>
            </w:pPr>
            <w:r>
              <w:rPr/>
            </w:r>
          </w:p>
        </w:tc>
        <w:tc>
          <w:tcPr>
            <w:tcW w:w="1365"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755"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1815"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Електроенергія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МВт*год</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0,01</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0,01</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0,01</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Природний газ</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16553,89</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16553,89</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16553,89</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Теплова енергія на опалення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Гкал</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АПС -3498.86</w:t>
            </w:r>
          </w:p>
          <w:p>
            <w:pPr>
              <w:pStyle w:val="Style20"/>
              <w:jc w:val="center"/>
              <w:rPr>
                <w:rFonts w:ascii="Times New Roman" w:hAnsi="Times New Roman"/>
                <w:sz w:val="24"/>
                <w:szCs w:val="24"/>
              </w:rPr>
            </w:pPr>
            <w:r>
              <w:rPr>
                <w:rFonts w:ascii="Times New Roman" w:hAnsi="Times New Roman"/>
                <w:sz w:val="24"/>
                <w:szCs w:val="24"/>
              </w:rPr>
              <w:t>Укртехресурс - 3523.23</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Атлас Актив -3498.86/5780.72</w:t>
            </w:r>
          </w:p>
          <w:p>
            <w:pPr>
              <w:pStyle w:val="Style20"/>
              <w:jc w:val="center"/>
              <w:rPr>
                <w:rFonts w:ascii="Times New Roman" w:hAnsi="Times New Roman"/>
                <w:sz w:val="24"/>
                <w:szCs w:val="24"/>
              </w:rPr>
            </w:pPr>
            <w:r>
              <w:rPr>
                <w:rFonts w:ascii="Times New Roman" w:hAnsi="Times New Roman"/>
                <w:sz w:val="24"/>
                <w:szCs w:val="24"/>
              </w:rPr>
              <w:t>Укртехресурс - 3523.23/5761.10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Атлас Актив -</w:t>
            </w:r>
            <w:r>
              <w:rPr>
                <w:rFonts w:ascii="Times New Roman" w:hAnsi="Times New Roman"/>
                <w:sz w:val="24"/>
                <w:szCs w:val="24"/>
              </w:rPr>
              <w:t>5780</w:t>
            </w:r>
            <w:r>
              <w:rPr>
                <w:rFonts w:ascii="Times New Roman" w:hAnsi="Times New Roman"/>
                <w:sz w:val="24"/>
                <w:szCs w:val="24"/>
              </w:rPr>
              <w:t>.</w:t>
            </w:r>
            <w:r>
              <w:rPr>
                <w:rFonts w:ascii="Times New Roman" w:hAnsi="Times New Roman"/>
                <w:sz w:val="24"/>
                <w:szCs w:val="24"/>
              </w:rPr>
              <w:t>72</w:t>
            </w:r>
            <w:r>
              <w:rPr>
                <w:rFonts w:ascii="Times New Roman" w:hAnsi="Times New Roman"/>
                <w:sz w:val="24"/>
                <w:szCs w:val="24"/>
              </w:rPr>
              <w:t>/57</w:t>
            </w:r>
            <w:r>
              <w:rPr>
                <w:rFonts w:ascii="Times New Roman" w:hAnsi="Times New Roman"/>
                <w:sz w:val="24"/>
                <w:szCs w:val="24"/>
              </w:rPr>
              <w:t>97</w:t>
            </w:r>
            <w:r>
              <w:rPr>
                <w:rFonts w:ascii="Times New Roman" w:hAnsi="Times New Roman"/>
                <w:sz w:val="24"/>
                <w:szCs w:val="24"/>
              </w:rPr>
              <w:t>.7</w:t>
            </w:r>
            <w:r>
              <w:rPr>
                <w:rFonts w:ascii="Times New Roman" w:hAnsi="Times New Roman"/>
                <w:sz w:val="24"/>
                <w:szCs w:val="24"/>
              </w:rPr>
              <w:t>6</w:t>
            </w:r>
          </w:p>
          <w:p>
            <w:pPr>
              <w:pStyle w:val="Style20"/>
              <w:jc w:val="center"/>
              <w:rPr>
                <w:rFonts w:ascii="Times New Roman" w:hAnsi="Times New Roman"/>
                <w:sz w:val="24"/>
                <w:szCs w:val="24"/>
              </w:rPr>
            </w:pPr>
            <w:r>
              <w:rPr>
                <w:rFonts w:ascii="Times New Roman" w:hAnsi="Times New Roman"/>
                <w:sz w:val="24"/>
                <w:szCs w:val="24"/>
              </w:rPr>
              <w:t xml:space="preserve">Укртехресурс - </w:t>
            </w:r>
            <w:r>
              <w:rPr>
                <w:rFonts w:ascii="Times New Roman" w:hAnsi="Times New Roman"/>
                <w:sz w:val="24"/>
                <w:szCs w:val="24"/>
              </w:rPr>
              <w:t>5761</w:t>
            </w:r>
            <w:r>
              <w:rPr>
                <w:rFonts w:ascii="Times New Roman" w:hAnsi="Times New Roman"/>
                <w:sz w:val="24"/>
                <w:szCs w:val="24"/>
              </w:rPr>
              <w:t>.</w:t>
            </w:r>
            <w:r>
              <w:rPr>
                <w:rFonts w:ascii="Times New Roman" w:hAnsi="Times New Roman"/>
                <w:sz w:val="24"/>
                <w:szCs w:val="24"/>
              </w:rPr>
              <w:t>10</w:t>
            </w:r>
            <w:r>
              <w:rPr>
                <w:rFonts w:ascii="Times New Roman" w:hAnsi="Times New Roman"/>
                <w:sz w:val="24"/>
                <w:szCs w:val="24"/>
              </w:rPr>
              <w:t>/5</w:t>
            </w:r>
            <w:r>
              <w:rPr>
                <w:rFonts w:ascii="Times New Roman" w:hAnsi="Times New Roman"/>
                <w:sz w:val="24"/>
                <w:szCs w:val="24"/>
              </w:rPr>
              <w:t>802</w:t>
            </w:r>
            <w:r>
              <w:rPr>
                <w:rFonts w:ascii="Times New Roman" w:hAnsi="Times New Roman"/>
                <w:sz w:val="24"/>
                <w:szCs w:val="24"/>
              </w:rPr>
              <w:t>.</w:t>
            </w:r>
            <w:r>
              <w:rPr>
                <w:rFonts w:ascii="Times New Roman" w:hAnsi="Times New Roman"/>
                <w:sz w:val="24"/>
                <w:szCs w:val="24"/>
              </w:rPr>
              <w:t>66</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Тверде паливо</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9660,00</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12984,00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12984,00</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Водопостачання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21,40</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21,40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21,40</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Водовідведення</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15,40</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15,40</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15,40</w:t>
            </w:r>
          </w:p>
        </w:tc>
      </w:tr>
      <w:tr>
        <w:trPr>
          <w:trHeight w:val="26" w:hRule="atLeast"/>
        </w:trPr>
        <w:tc>
          <w:tcPr>
            <w:tcW w:w="261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Послуга з у</w:t>
            </w:r>
            <w:r>
              <w:rPr>
                <w:rFonts w:ascii="Times New Roman" w:hAnsi="Times New Roman"/>
                <w:b/>
                <w:bCs/>
                <w:sz w:val="24"/>
                <w:szCs w:val="24"/>
              </w:rPr>
              <w:t xml:space="preserve">правління </w:t>
            </w:r>
            <w:r>
              <w:rPr>
                <w:rFonts w:ascii="Times New Roman" w:hAnsi="Times New Roman"/>
                <w:b/>
                <w:bCs/>
                <w:sz w:val="24"/>
                <w:szCs w:val="24"/>
              </w:rPr>
              <w:t>побутовими</w:t>
            </w:r>
            <w:r>
              <w:rPr>
                <w:rFonts w:ascii="Times New Roman" w:hAnsi="Times New Roman"/>
                <w:b/>
                <w:bCs/>
                <w:sz w:val="24"/>
                <w:szCs w:val="24"/>
              </w:rPr>
              <w:t xml:space="preserve"> відходами</w:t>
            </w:r>
          </w:p>
        </w:tc>
        <w:tc>
          <w:tcPr>
            <w:tcW w:w="136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м3</w:t>
            </w:r>
          </w:p>
        </w:tc>
        <w:tc>
          <w:tcPr>
            <w:tcW w:w="175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232,56</w:t>
            </w:r>
          </w:p>
        </w:tc>
        <w:tc>
          <w:tcPr>
            <w:tcW w:w="181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235,12/208,1</w:t>
            </w:r>
          </w:p>
        </w:tc>
        <w:tc>
          <w:tcPr>
            <w:tcW w:w="2115"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280,00</w:t>
            </w:r>
          </w:p>
        </w:tc>
      </w:tr>
    </w:tbl>
    <w:p>
      <w:pPr>
        <w:pStyle w:val="Normal"/>
        <w:spacing w:before="160" w:after="0"/>
        <w:jc w:val="end"/>
        <w:rPr>
          <w:rFonts w:ascii="Times New Roman" w:hAnsi="Times New Roman"/>
          <w:sz w:val="24"/>
          <w:szCs w:val="24"/>
        </w:rPr>
      </w:pPr>
      <w:r>
        <w:rPr>
          <w:rFonts w:ascii="Times New Roman" w:hAnsi="Times New Roman"/>
          <w:sz w:val="24"/>
          <w:szCs w:val="24"/>
        </w:rPr>
        <w:t xml:space="preserve">Таблиця </w:t>
      </w:r>
      <w:r>
        <w:rPr>
          <w:rFonts w:ascii="Times New Roman" w:hAnsi="Times New Roman"/>
          <w:sz w:val="24"/>
          <w:szCs w:val="24"/>
        </w:rPr>
        <w:t>4</w:t>
      </w:r>
    </w:p>
    <w:p>
      <w:pPr>
        <w:pStyle w:val="Normal"/>
        <w:spacing w:before="0" w:after="0"/>
        <w:jc w:val="center"/>
        <w:rPr>
          <w:rFonts w:ascii="Times New Roman" w:hAnsi="Times New Roman"/>
          <w:sz w:val="24"/>
          <w:szCs w:val="24"/>
        </w:rPr>
      </w:pPr>
      <w:r>
        <w:rPr>
          <w:rFonts w:ascii="Times New Roman" w:hAnsi="Times New Roman"/>
          <w:sz w:val="24"/>
          <w:szCs w:val="24"/>
        </w:rPr>
        <w:t>Поточні, попередні та заплановані програми, плани та проєкти щодо підвищення енергоефективності та частки відновлювальних джерел енергії</w:t>
      </w:r>
    </w:p>
    <w:tbl>
      <w:tblPr>
        <w:tblW w:w="9746" w:type="dxa"/>
        <w:jc w:val="start"/>
        <w:tblInd w:w="-103" w:type="dxa"/>
        <w:tblLayout w:type="fixed"/>
        <w:tblCellMar>
          <w:top w:w="55" w:type="dxa"/>
          <w:start w:w="55" w:type="dxa"/>
          <w:bottom w:w="55" w:type="dxa"/>
          <w:end w:w="55" w:type="dxa"/>
        </w:tblCellMar>
      </w:tblPr>
      <w:tblGrid>
        <w:gridCol w:w="388"/>
        <w:gridCol w:w="2222"/>
        <w:gridCol w:w="2895"/>
        <w:gridCol w:w="1365"/>
        <w:gridCol w:w="2876"/>
      </w:tblGrid>
      <w:tr>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Назва програми, плану, проєкту</w:t>
            </w:r>
          </w:p>
        </w:tc>
        <w:tc>
          <w:tcPr>
            <w:tcW w:w="28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Зміст заходу</w:t>
            </w:r>
          </w:p>
        </w:tc>
        <w:tc>
          <w:tcPr>
            <w:tcW w:w="136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Період реалізації</w:t>
            </w:r>
          </w:p>
        </w:tc>
        <w:tc>
          <w:tcPr>
            <w:tcW w:w="287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Загальна вартість реалізації, з ПДВ, тис.грн.</w:t>
            </w:r>
          </w:p>
        </w:tc>
      </w:tr>
      <w:tr>
        <w:trPr>
          <w:trHeight w:val="27" w:hRule="atLeast"/>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вікон у закладах освіти</w:t>
            </w:r>
          </w:p>
        </w:tc>
        <w:tc>
          <w:tcPr>
            <w:tcW w:w="28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Поступова заміна старих вікон на нові, енергоефективні</w:t>
            </w:r>
          </w:p>
        </w:tc>
        <w:tc>
          <w:tcPr>
            <w:tcW w:w="136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До 2030 року</w:t>
            </w:r>
          </w:p>
        </w:tc>
        <w:tc>
          <w:tcPr>
            <w:tcW w:w="287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12975,0</w:t>
            </w:r>
          </w:p>
        </w:tc>
      </w:tr>
      <w:tr>
        <w:trPr>
          <w:trHeight w:val="27" w:hRule="atLeast"/>
        </w:trPr>
        <w:tc>
          <w:tcPr>
            <w:tcW w:w="388"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p>
        </w:tc>
        <w:tc>
          <w:tcPr>
            <w:tcW w:w="222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дверей та балконних блоків</w:t>
            </w:r>
          </w:p>
        </w:tc>
        <w:tc>
          <w:tcPr>
            <w:tcW w:w="289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Поступова заміна старих дерев'яних вхідних та міжповерхових дверей і балконних блоків</w:t>
            </w:r>
          </w:p>
        </w:tc>
        <w:tc>
          <w:tcPr>
            <w:tcW w:w="136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До 2030 року</w:t>
            </w:r>
          </w:p>
        </w:tc>
        <w:tc>
          <w:tcPr>
            <w:tcW w:w="2876"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3000,0</w:t>
            </w:r>
          </w:p>
        </w:tc>
      </w:tr>
    </w:tbl>
    <w:p>
      <w:pPr>
        <w:pStyle w:val="Normal"/>
        <w:spacing w:before="160" w:after="0"/>
        <w:jc w:val="end"/>
        <w:rPr>
          <w:rFonts w:ascii="Times New Roman" w:hAnsi="Times New Roman"/>
          <w:sz w:val="24"/>
          <w:szCs w:val="24"/>
        </w:rPr>
      </w:pPr>
      <w:r>
        <w:rPr>
          <w:rFonts w:ascii="Times New Roman" w:hAnsi="Times New Roman"/>
          <w:sz w:val="24"/>
          <w:szCs w:val="24"/>
        </w:rPr>
        <w:t xml:space="preserve">Таблиця </w:t>
      </w:r>
      <w:r>
        <w:rPr>
          <w:rFonts w:ascii="Times New Roman" w:hAnsi="Times New Roman"/>
          <w:sz w:val="24"/>
          <w:szCs w:val="24"/>
        </w:rPr>
        <w:t>5</w:t>
      </w:r>
    </w:p>
    <w:p>
      <w:pPr>
        <w:pStyle w:val="Default"/>
        <w:jc w:val="center"/>
        <w:rPr>
          <w:rFonts w:ascii="Times New Roman" w:hAnsi="Times New Roman"/>
          <w:sz w:val="24"/>
          <w:szCs w:val="24"/>
        </w:rPr>
      </w:pPr>
      <w:r>
        <w:rPr>
          <w:rFonts w:cs="Century Gothic"/>
          <w:color w:val="auto"/>
          <w:sz w:val="24"/>
          <w:szCs w:val="24"/>
        </w:rPr>
        <w:t>Річне споживання палива транспорт</w:t>
      </w:r>
      <w:r>
        <w:rPr>
          <w:rFonts w:cs="Century Gothic"/>
          <w:color w:val="auto"/>
          <w:sz w:val="24"/>
          <w:szCs w:val="24"/>
        </w:rPr>
        <w:t>ними засобами</w:t>
      </w:r>
      <w:r>
        <w:rPr>
          <w:rFonts w:cs="Century Gothic"/>
          <w:color w:val="auto"/>
          <w:sz w:val="24"/>
          <w:szCs w:val="24"/>
        </w:rPr>
        <w:t xml:space="preserve"> </w:t>
      </w:r>
      <w:r>
        <w:rPr>
          <w:rFonts w:cs="Century Gothic"/>
          <w:color w:val="auto"/>
          <w:sz w:val="24"/>
          <w:szCs w:val="24"/>
        </w:rPr>
        <w:t>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2</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3</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3,1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bl>
    <w:p>
      <w:pPr>
        <w:pStyle w:val="Normal"/>
        <w:spacing w:lineRule="auto" w:line="259" w:before="0" w:after="0"/>
        <w:jc w:val="end"/>
        <w:rPr>
          <w:rFonts w:ascii="Times New Roman" w:hAnsi="Times New Roman" w:eastAsia="Century Gothic" w:cs="Century Gothic"/>
          <w:kern w:val="0"/>
          <w:sz w:val="24"/>
          <w:szCs w:val="24"/>
          <w:lang w:eastAsia="uk-UA"/>
        </w:rPr>
      </w:pPr>
      <w:r>
        <w:rPr>
          <w:rFonts w:eastAsia="Century Gothic" w:cs="Century Gothic" w:ascii="Times New Roman" w:hAnsi="Times New Roman"/>
          <w:kern w:val="0"/>
          <w:sz w:val="24"/>
          <w:szCs w:val="24"/>
          <w:lang w:eastAsia="uk-UA"/>
        </w:rPr>
      </w:r>
    </w:p>
    <w:p>
      <w:pPr>
        <w:pStyle w:val="Normal"/>
        <w:spacing w:lineRule="auto" w:line="259" w:before="0" w:after="0"/>
        <w:jc w:val="end"/>
        <w:rPr>
          <w:rFonts w:eastAsia="Century Gothic" w:cs="Century Gothic"/>
          <w:kern w:val="0"/>
          <w:lang w:eastAsia="uk-UA"/>
        </w:rPr>
        <w:sectPr>
          <w:headerReference w:type="default" r:id="rId36"/>
          <w:headerReference w:type="first" r:id="rId37"/>
          <w:type w:val="nextPage"/>
          <w:pgSz w:w="11906" w:h="16838"/>
          <w:pgMar w:left="1701" w:right="850" w:gutter="0" w:header="0" w:top="1134" w:footer="0" w:bottom="1701"/>
          <w:pgNumType w:fmt="decimal"/>
          <w:formProt w:val="false"/>
          <w:textDirection w:val="lrTb"/>
          <w:docGrid w:type="default" w:linePitch="312" w:charSpace="4294961151"/>
        </w:sectPr>
      </w:pPr>
      <w:r>
        <w:rPr>
          <w:rFonts w:ascii="Times New Roman" w:hAnsi="Times New Roman"/>
          <w:sz w:val="22"/>
          <w:szCs w:val="22"/>
        </w:rPr>
      </w:r>
    </w:p>
    <w:p>
      <w:pPr>
        <w:pStyle w:val="Normal"/>
        <w:spacing w:lineRule="auto" w:line="259" w:before="0" w:after="0"/>
        <w:jc w:val="end"/>
        <w:rPr>
          <w:rFonts w:ascii="Times New Roman" w:hAnsi="Times New Roman"/>
          <w:sz w:val="22"/>
          <w:szCs w:val="22"/>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5</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tbl>
      <w:tblPr>
        <w:tblW w:w="15945" w:type="dxa"/>
        <w:jc w:val="start"/>
        <w:tblInd w:w="-584" w:type="dxa"/>
        <w:tblLayout w:type="fixed"/>
        <w:tblCellMar>
          <w:top w:w="55" w:type="dxa"/>
          <w:start w:w="55" w:type="dxa"/>
          <w:bottom w:w="55" w:type="dxa"/>
          <w:end w:w="55" w:type="dxa"/>
        </w:tblCellMar>
      </w:tblPr>
      <w:tblGrid>
        <w:gridCol w:w="1530"/>
        <w:gridCol w:w="1815"/>
        <w:gridCol w:w="1080"/>
        <w:gridCol w:w="675"/>
        <w:gridCol w:w="570"/>
        <w:gridCol w:w="795"/>
        <w:gridCol w:w="855"/>
        <w:gridCol w:w="1695"/>
        <w:gridCol w:w="1305"/>
        <w:gridCol w:w="1140"/>
        <w:gridCol w:w="1185"/>
        <w:gridCol w:w="855"/>
        <w:gridCol w:w="1590"/>
        <w:gridCol w:w="855"/>
      </w:tblGrid>
      <w:tr>
        <w:trPr/>
        <w:tc>
          <w:tcPr>
            <w:tcW w:w="153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18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8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67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57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7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6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30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w:t>
            </w:r>
            <w:r>
              <w:rPr>
                <w:rFonts w:ascii="Times New Roman" w:hAnsi="Times New Roman"/>
                <w:b/>
                <w:bCs/>
                <w:sz w:val="16"/>
                <w:szCs w:val="16"/>
              </w:rPr>
              <w:t>водопос-тачання</w:t>
            </w:r>
          </w:p>
        </w:tc>
        <w:tc>
          <w:tcPr>
            <w:tcW w:w="118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постачання </w:t>
            </w:r>
            <w:r>
              <w:rPr>
                <w:rFonts w:ascii="Times New Roman" w:hAnsi="Times New Roman"/>
                <w:b/>
                <w:bCs/>
                <w:sz w:val="16"/>
                <w:szCs w:val="16"/>
              </w:rPr>
              <w:t>газа</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159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85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5945" w:type="dxa"/>
            <w:gridSpan w:val="14"/>
            <w:tcBorders>
              <w:start w:val="single" w:sz="4" w:space="0" w:color="000000"/>
              <w:bottom w:val="single" w:sz="4" w:space="0" w:color="000000"/>
              <w:end w:val="single" w:sz="4" w:space="0" w:color="000000"/>
            </w:tcBorders>
          </w:tcPr>
          <w:p>
            <w:pPr>
              <w:pStyle w:val="BodyText"/>
              <w:widowControl/>
              <w:pBdr/>
              <w:spacing w:before="0" w:after="0"/>
              <w:ind w:hanging="0" w:start="0" w:end="0"/>
              <w:jc w:val="start"/>
              <w:rPr>
                <w:rFonts w:ascii="Times New Roman" w:hAnsi="Times New Roman" w:eastAsia="Century Gothic" w:cs="Century Gothic"/>
                <w:b w:val="false"/>
                <w:bCs/>
                <w:i w:val="false"/>
                <w:caps w:val="false"/>
                <w:smallCaps w:val="false"/>
                <w:color w:val="333333"/>
                <w:spacing w:val="0"/>
                <w:kern w:val="0"/>
                <w:sz w:val="24"/>
                <w:szCs w:val="24"/>
                <w:shd w:fill="auto" w:val="clear"/>
                <w:lang w:eastAsia="uk-UA"/>
              </w:rPr>
            </w:pPr>
            <w:r>
              <w:rPr>
                <w:rFonts w:eastAsia="Century Gothic" w:cs="Century Gothic" w:ascii="Times New Roman" w:hAnsi="Times New Roman"/>
                <w:b w:val="false"/>
                <w:bCs/>
                <w:i w:val="false"/>
                <w:caps w:val="false"/>
                <w:smallCaps w:val="false"/>
                <w:color w:val="333333"/>
                <w:spacing w:val="0"/>
                <w:kern w:val="0"/>
                <w:sz w:val="24"/>
                <w:szCs w:val="24"/>
                <w:shd w:fill="auto" w:val="clear"/>
                <w:lang w:eastAsia="uk-UA"/>
              </w:rPr>
              <w:t xml:space="preserve">Балансоутримувач: </w:t>
            </w:r>
            <w:r>
              <w:rPr>
                <w:rFonts w:eastAsia="Century Gothic" w:cs="Century Gothic" w:ascii="Times New Roman" w:hAnsi="Times New Roman"/>
                <w:b w:val="false"/>
                <w:bCs/>
                <w:i w:val="false"/>
                <w:caps w:val="false"/>
                <w:smallCaps w:val="false"/>
                <w:color w:val="333333"/>
                <w:spacing w:val="0"/>
                <w:kern w:val="0"/>
                <w:sz w:val="24"/>
                <w:szCs w:val="24"/>
                <w:shd w:fill="auto" w:val="clear"/>
                <w:lang w:eastAsia="uk-UA"/>
              </w:rPr>
              <w:t>Управління освіти виконавчого комітету Покровської міської ради</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№2»</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вул.Малки, 15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3811,6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3811,6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90,4</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Комплекс будівель та споруд громадського призначення КЗ«Ліцей №2» </w:t>
            </w:r>
            <w:r>
              <w:rPr>
                <w:rFonts w:ascii="Times New Roman" w:hAnsi="Times New Roman"/>
                <w:sz w:val="20"/>
                <w:szCs w:val="20"/>
              </w:rPr>
              <w:t>(дошкільний підрозділ)</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Фабрична</w:t>
            </w:r>
            <w:r>
              <w:rPr>
                <w:rFonts w:ascii="Times New Roman" w:hAnsi="Times New Roman"/>
                <w:sz w:val="20"/>
                <w:szCs w:val="20"/>
              </w:rPr>
              <w:t>, 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1060</w:t>
            </w:r>
            <w:r>
              <w:rPr>
                <w:rFonts w:ascii="Times New Roman" w:hAnsi="Times New Roman"/>
                <w:sz w:val="20"/>
                <w:szCs w:val="20"/>
              </w:rPr>
              <w:t>,</w:t>
            </w: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1060</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70</w:t>
            </w:r>
            <w:r>
              <w:rPr>
                <w:rFonts w:ascii="Times New Roman" w:hAnsi="Times New Roman"/>
                <w:sz w:val="20"/>
                <w:szCs w:val="20"/>
              </w:rPr>
              <w:t>,</w:t>
            </w:r>
            <w:r>
              <w:rPr>
                <w:rFonts w:ascii="Times New Roman" w:hAnsi="Times New Roman"/>
                <w:sz w:val="20"/>
                <w:szCs w:val="20"/>
              </w:rPr>
              <w:t>7</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удівл</w:t>
            </w:r>
            <w:r>
              <w:rPr>
                <w:rFonts w:ascii="Times New Roman" w:hAnsi="Times New Roman"/>
                <w:sz w:val="20"/>
                <w:szCs w:val="20"/>
              </w:rPr>
              <w:t>я закладу</w:t>
            </w:r>
            <w:r>
              <w:rPr>
                <w:rFonts w:ascii="Times New Roman" w:hAnsi="Times New Roman"/>
                <w:sz w:val="20"/>
                <w:szCs w:val="20"/>
              </w:rPr>
              <w:t xml:space="preserve"> КЗ «Ліцей №2» </w:t>
            </w:r>
            <w:r>
              <w:rPr>
                <w:rFonts w:ascii="Times New Roman" w:hAnsi="Times New Roman"/>
                <w:sz w:val="20"/>
                <w:szCs w:val="20"/>
              </w:rPr>
              <w:t>позашк.</w:t>
            </w:r>
            <w:r>
              <w:rPr>
                <w:rFonts w:ascii="Times New Roman" w:hAnsi="Times New Roman"/>
                <w:sz w:val="20"/>
                <w:szCs w:val="20"/>
              </w:rPr>
              <w:t xml:space="preserve"> </w:t>
            </w:r>
            <w:r>
              <w:rPr>
                <w:rFonts w:ascii="Times New Roman" w:hAnsi="Times New Roman"/>
                <w:sz w:val="20"/>
                <w:szCs w:val="20"/>
              </w:rPr>
              <w:t>п</w:t>
            </w:r>
            <w:r>
              <w:rPr>
                <w:rFonts w:ascii="Times New Roman" w:hAnsi="Times New Roman"/>
                <w:sz w:val="20"/>
                <w:szCs w:val="20"/>
              </w:rPr>
              <w:t>ідрозд.</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Калинова</w:t>
            </w:r>
            <w:r>
              <w:rPr>
                <w:rFonts w:ascii="Times New Roman" w:hAnsi="Times New Roman"/>
                <w:sz w:val="20"/>
                <w:szCs w:val="20"/>
              </w:rPr>
              <w:t xml:space="preserve">, </w:t>
            </w:r>
            <w:r>
              <w:rPr>
                <w:rFonts w:ascii="Times New Roman" w:hAnsi="Times New Roman"/>
                <w:sz w:val="20"/>
                <w:szCs w:val="20"/>
              </w:rPr>
              <w:t>62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поза-шкільної</w:t>
            </w:r>
            <w:r>
              <w:rPr>
                <w:rFonts w:ascii="Times New Roman" w:hAnsi="Times New Roman"/>
                <w:sz w:val="20"/>
                <w:szCs w:val="20"/>
              </w:rPr>
              <w:t xml:space="preserve">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3095</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3095</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Власна </w:t>
            </w:r>
            <w:r>
              <w:rPr>
                <w:rFonts w:ascii="Times New Roman" w:hAnsi="Times New Roman"/>
                <w:sz w:val="20"/>
                <w:szCs w:val="20"/>
              </w:rPr>
              <w:t>твердопаливна (вугільна)</w:t>
            </w:r>
            <w:r>
              <w:rPr>
                <w:rFonts w:ascii="Times New Roman" w:hAnsi="Times New Roman"/>
                <w:sz w:val="20"/>
                <w:szCs w:val="20"/>
              </w:rPr>
              <w:t xml:space="preserve">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r>
              <w:rPr>
                <w:rFonts w:ascii="Times New Roman" w:hAnsi="Times New Roman"/>
                <w:sz w:val="20"/>
                <w:szCs w:val="20"/>
              </w:rPr>
              <w:t>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w:t>
            </w:r>
            <w:r>
              <w:rPr>
                <w:rFonts w:ascii="Times New Roman" w:hAnsi="Times New Roman"/>
                <w:sz w:val="20"/>
                <w:szCs w:val="20"/>
              </w:rPr>
              <w:t xml:space="preserve">ля </w:t>
            </w:r>
            <w:r>
              <w:rPr>
                <w:rFonts w:ascii="Times New Roman" w:hAnsi="Times New Roman"/>
                <w:sz w:val="20"/>
                <w:szCs w:val="20"/>
              </w:rPr>
              <w:t>КЗ«Ліцей №</w:t>
            </w:r>
            <w:r>
              <w:rPr>
                <w:rFonts w:ascii="Times New Roman" w:hAnsi="Times New Roman"/>
                <w:sz w:val="20"/>
                <w:szCs w:val="20"/>
              </w:rPr>
              <w:t>3</w:t>
            </w:r>
            <w:r>
              <w:rPr>
                <w:rFonts w:ascii="Times New Roman" w:hAnsi="Times New Roman"/>
                <w:sz w:val="20"/>
                <w:szCs w:val="20"/>
              </w:rPr>
              <w:t xml:space="preserve">» </w:t>
            </w:r>
            <w:r>
              <w:rPr>
                <w:rFonts w:ascii="Times New Roman" w:hAnsi="Times New Roman"/>
                <w:sz w:val="20"/>
                <w:szCs w:val="20"/>
              </w:rPr>
              <w:t>Покровської міської ради Дніпропетровської області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ентральна</w:t>
            </w:r>
            <w:r>
              <w:rPr>
                <w:rFonts w:ascii="Times New Roman" w:hAnsi="Times New Roman"/>
                <w:sz w:val="20"/>
                <w:szCs w:val="20"/>
              </w:rPr>
              <w:t xml:space="preserve">, </w:t>
            </w:r>
            <w:r>
              <w:rPr>
                <w:rFonts w:ascii="Times New Roman" w:hAnsi="Times New Roman"/>
                <w:sz w:val="20"/>
                <w:szCs w:val="20"/>
              </w:rPr>
              <w:t>31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w:t>
            </w:r>
            <w:r>
              <w:rPr>
                <w:rFonts w:ascii="Times New Roman" w:hAnsi="Times New Roman"/>
                <w:sz w:val="20"/>
                <w:szCs w:val="20"/>
              </w:rPr>
              <w:t>3</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6025</w:t>
            </w:r>
            <w:r>
              <w:rPr>
                <w:rFonts w:ascii="Times New Roman" w:hAnsi="Times New Roman"/>
                <w:sz w:val="20"/>
                <w:szCs w:val="20"/>
              </w:rPr>
              <w:t>,6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6025</w:t>
            </w:r>
            <w:r>
              <w:rPr>
                <w:rFonts w:ascii="Times New Roman" w:hAnsi="Times New Roman"/>
                <w:sz w:val="20"/>
                <w:szCs w:val="20"/>
              </w:rPr>
              <w:t>,6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w:t>
            </w:r>
            <w:r>
              <w:rPr>
                <w:rFonts w:ascii="Times New Roman" w:hAnsi="Times New Roman"/>
                <w:sz w:val="20"/>
                <w:szCs w:val="20"/>
              </w:rPr>
              <w:t>,</w:t>
            </w:r>
            <w:r>
              <w:rPr>
                <w:rFonts w:ascii="Times New Roman" w:hAnsi="Times New Roman"/>
                <w:sz w:val="20"/>
                <w:szCs w:val="20"/>
              </w:rPr>
              <w:t>6</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з господарськими спорудами </w:t>
            </w:r>
            <w:r>
              <w:rPr>
                <w:rFonts w:ascii="Times New Roman" w:hAnsi="Times New Roman"/>
                <w:sz w:val="20"/>
                <w:szCs w:val="20"/>
              </w:rPr>
              <w:t>КЗ«</w:t>
            </w:r>
            <w:r>
              <w:rPr>
                <w:rFonts w:ascii="Times New Roman" w:hAnsi="Times New Roman"/>
                <w:sz w:val="20"/>
                <w:szCs w:val="20"/>
              </w:rPr>
              <w:t>СЗШ</w:t>
            </w:r>
            <w:r>
              <w:rPr>
                <w:rFonts w:ascii="Times New Roman" w:hAnsi="Times New Roman"/>
                <w:sz w:val="20"/>
                <w:szCs w:val="20"/>
              </w:rPr>
              <w:t>№</w:t>
            </w:r>
            <w:r>
              <w:rPr>
                <w:rFonts w:ascii="Times New Roman" w:hAnsi="Times New Roman"/>
                <w:sz w:val="20"/>
                <w:szCs w:val="20"/>
              </w:rPr>
              <w:t>4</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Карпатська</w:t>
            </w:r>
            <w:r>
              <w:rPr>
                <w:rFonts w:ascii="Times New Roman" w:hAnsi="Times New Roman"/>
                <w:sz w:val="20"/>
                <w:szCs w:val="20"/>
              </w:rPr>
              <w:t xml:space="preserve">, </w:t>
            </w:r>
            <w:r>
              <w:rPr>
                <w:rFonts w:ascii="Times New Roman" w:hAnsi="Times New Roman"/>
                <w:sz w:val="20"/>
                <w:szCs w:val="20"/>
              </w:rPr>
              <w:t>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3</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3569</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3569</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65</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5</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3</w:t>
            </w:r>
            <w:r>
              <w:rPr>
                <w:rFonts w:ascii="Times New Roman" w:hAnsi="Times New Roman"/>
                <w:sz w:val="20"/>
                <w:szCs w:val="20"/>
              </w:rPr>
              <w:t>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5939</w:t>
            </w:r>
            <w:r>
              <w:rPr>
                <w:rFonts w:ascii="Times New Roman" w:hAnsi="Times New Roman"/>
                <w:sz w:val="20"/>
                <w:szCs w:val="20"/>
              </w:rPr>
              <w:t>,</w:t>
            </w: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5939</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5</w:t>
            </w:r>
            <w:r>
              <w:rPr>
                <w:rFonts w:ascii="Times New Roman" w:hAnsi="Times New Roman"/>
                <w:sz w:val="20"/>
                <w:szCs w:val="20"/>
              </w:rPr>
              <w:t xml:space="preserve">» </w:t>
            </w:r>
            <w:r>
              <w:rPr>
                <w:rFonts w:ascii="Times New Roman" w:hAnsi="Times New Roman"/>
                <w:sz w:val="20"/>
                <w:szCs w:val="20"/>
              </w:rPr>
              <w:t>(корпус 2)</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3</w:t>
            </w:r>
            <w:r>
              <w:rPr>
                <w:rFonts w:ascii="Times New Roman" w:hAnsi="Times New Roman"/>
                <w:sz w:val="20"/>
                <w:szCs w:val="20"/>
              </w:rPr>
              <w:t>3а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1403</w:t>
            </w:r>
            <w:r>
              <w:rPr>
                <w:rFonts w:ascii="Times New Roman" w:hAnsi="Times New Roman"/>
                <w:sz w:val="20"/>
                <w:szCs w:val="20"/>
              </w:rPr>
              <w:t>,</w:t>
            </w:r>
            <w:r>
              <w:rPr>
                <w:rFonts w:ascii="Times New Roman" w:hAnsi="Times New Roman"/>
                <w:sz w:val="20"/>
                <w:szCs w:val="20"/>
              </w:rPr>
              <w:t>9</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1403</w:t>
            </w:r>
            <w:r>
              <w:rPr>
                <w:rFonts w:ascii="Times New Roman" w:hAnsi="Times New Roman"/>
                <w:sz w:val="20"/>
                <w:szCs w:val="20"/>
              </w:rPr>
              <w:t>,</w:t>
            </w:r>
            <w:r>
              <w:rPr>
                <w:rFonts w:ascii="Times New Roman" w:hAnsi="Times New Roman"/>
                <w:sz w:val="20"/>
                <w:szCs w:val="20"/>
              </w:rPr>
              <w:t>9</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72,8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5</w:t>
            </w:r>
            <w:r>
              <w:rPr>
                <w:rFonts w:ascii="Times New Roman" w:hAnsi="Times New Roman"/>
                <w:sz w:val="20"/>
                <w:szCs w:val="20"/>
              </w:rPr>
              <w:t xml:space="preserve">» </w:t>
            </w:r>
            <w:r>
              <w:rPr>
                <w:rFonts w:ascii="Times New Roman" w:hAnsi="Times New Roman"/>
                <w:sz w:val="20"/>
                <w:szCs w:val="20"/>
              </w:rPr>
              <w:t xml:space="preserve">корпус </w:t>
            </w:r>
            <w:r>
              <w:rPr>
                <w:rFonts w:ascii="Times New Roman" w:hAnsi="Times New Roman"/>
                <w:sz w:val="20"/>
                <w:szCs w:val="20"/>
              </w:rPr>
              <w:t>3</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Чорнобиля</w:t>
            </w:r>
            <w:r>
              <w:rPr>
                <w:rFonts w:ascii="Times New Roman" w:hAnsi="Times New Roman"/>
                <w:sz w:val="20"/>
                <w:szCs w:val="20"/>
              </w:rPr>
              <w:t xml:space="preserve">, </w:t>
            </w:r>
            <w:r>
              <w:rPr>
                <w:rFonts w:ascii="Times New Roman" w:hAnsi="Times New Roman"/>
                <w:sz w:val="20"/>
                <w:szCs w:val="20"/>
              </w:rPr>
              <w:t>4</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7</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2513</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2513</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115</w:t>
            </w:r>
            <w:r>
              <w:rPr>
                <w:rFonts w:ascii="Times New Roman" w:hAnsi="Times New Roman"/>
                <w:sz w:val="20"/>
                <w:szCs w:val="20"/>
              </w:rPr>
              <w:t>,</w:t>
            </w:r>
            <w:r>
              <w:rPr>
                <w:rFonts w:ascii="Times New Roman" w:hAnsi="Times New Roman"/>
                <w:sz w:val="20"/>
                <w:szCs w:val="20"/>
              </w:rPr>
              <w:t>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Комплекс будівель та споруд громадського призначення КЗ«Ліцей №</w:t>
            </w:r>
            <w:r>
              <w:rPr>
                <w:rFonts w:ascii="Times New Roman" w:hAnsi="Times New Roman"/>
                <w:sz w:val="20"/>
                <w:szCs w:val="20"/>
              </w:rPr>
              <w:t>6</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Чіатурська</w:t>
            </w:r>
            <w:r>
              <w:rPr>
                <w:rFonts w:ascii="Times New Roman" w:hAnsi="Times New Roman"/>
                <w:sz w:val="20"/>
                <w:szCs w:val="20"/>
              </w:rPr>
              <w:t xml:space="preserve">, </w:t>
            </w:r>
            <w:r>
              <w:rPr>
                <w:rFonts w:ascii="Times New Roman" w:hAnsi="Times New Roman"/>
                <w:sz w:val="20"/>
                <w:szCs w:val="20"/>
              </w:rPr>
              <w:t>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w:t>
            </w:r>
            <w:r>
              <w:rPr>
                <w:rFonts w:ascii="Times New Roman" w:hAnsi="Times New Roman"/>
                <w:sz w:val="20"/>
                <w:szCs w:val="20"/>
              </w:rPr>
              <w:t>40</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w:t>
            </w:r>
            <w:r>
              <w:rPr>
                <w:rFonts w:ascii="Times New Roman" w:hAnsi="Times New Roman"/>
                <w:sz w:val="20"/>
                <w:szCs w:val="20"/>
              </w:rPr>
              <w:t>40</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83,3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 </w:t>
            </w:r>
            <w:r>
              <w:rPr>
                <w:rFonts w:ascii="Times New Roman" w:hAnsi="Times New Roman"/>
                <w:sz w:val="20"/>
                <w:szCs w:val="20"/>
              </w:rPr>
              <w:t>будівля</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 xml:space="preserve">Ліцей № 8 в м.Покров Дніпропетровської області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Джонсона</w:t>
            </w:r>
            <w:r>
              <w:rPr>
                <w:rFonts w:ascii="Times New Roman" w:hAnsi="Times New Roman"/>
                <w:sz w:val="20"/>
                <w:szCs w:val="20"/>
              </w:rPr>
              <w:t xml:space="preserve">, </w:t>
            </w:r>
            <w:r>
              <w:rPr>
                <w:rFonts w:ascii="Times New Roman" w:hAnsi="Times New Roman"/>
                <w:sz w:val="20"/>
                <w:szCs w:val="20"/>
              </w:rPr>
              <w:t>15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7388</w:t>
            </w:r>
            <w:r>
              <w:rPr>
                <w:rFonts w:ascii="Times New Roman" w:hAnsi="Times New Roman"/>
                <w:sz w:val="20"/>
                <w:szCs w:val="20"/>
              </w:rPr>
              <w:t>,</w:t>
            </w: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7388</w:t>
            </w:r>
            <w:r>
              <w:rPr>
                <w:rFonts w:ascii="Times New Roman" w:hAnsi="Times New Roman"/>
                <w:sz w:val="20"/>
                <w:szCs w:val="20"/>
              </w:rPr>
              <w:t>,</w:t>
            </w:r>
            <w:r>
              <w:rPr>
                <w:rFonts w:ascii="Times New Roman" w:hAnsi="Times New Roman"/>
                <w:sz w:val="20"/>
                <w:szCs w:val="20"/>
              </w:rPr>
              <w:t>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110,2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 </w:t>
            </w:r>
            <w:r>
              <w:rPr>
                <w:rFonts w:ascii="Times New Roman" w:hAnsi="Times New Roman"/>
                <w:sz w:val="20"/>
                <w:szCs w:val="20"/>
              </w:rPr>
              <w:t>будівля</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 xml:space="preserve">Ліцей № 8 в м.Покров Дніпропетровської області </w:t>
            </w:r>
            <w:r>
              <w:rPr>
                <w:rFonts w:ascii="Times New Roman" w:hAnsi="Times New Roman"/>
                <w:sz w:val="20"/>
                <w:szCs w:val="20"/>
              </w:rPr>
              <w:t>(дошкільний підрозділ)</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жонсона</w:t>
            </w:r>
            <w:r>
              <w:rPr>
                <w:rFonts w:ascii="Times New Roman" w:hAnsi="Times New Roman"/>
                <w:sz w:val="20"/>
                <w:szCs w:val="20"/>
              </w:rPr>
              <w:t xml:space="preserve">, </w:t>
            </w:r>
            <w:r>
              <w:rPr>
                <w:rFonts w:ascii="Times New Roman" w:hAnsi="Times New Roman"/>
                <w:sz w:val="20"/>
                <w:szCs w:val="20"/>
              </w:rPr>
              <w:t>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2588</w:t>
            </w:r>
            <w:r>
              <w:rPr>
                <w:rFonts w:ascii="Times New Roman" w:hAnsi="Times New Roman"/>
                <w:sz w:val="20"/>
                <w:szCs w:val="20"/>
              </w:rPr>
              <w:t>,</w:t>
            </w: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2588</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50</w:t>
            </w:r>
            <w:r>
              <w:rPr>
                <w:rFonts w:ascii="Times New Roman" w:hAnsi="Times New Roman"/>
                <w:sz w:val="20"/>
                <w:szCs w:val="20"/>
              </w:rPr>
              <w:t>,</w:t>
            </w:r>
            <w:r>
              <w:rPr>
                <w:rFonts w:ascii="Times New Roman" w:hAnsi="Times New Roman"/>
                <w:sz w:val="20"/>
                <w:szCs w:val="20"/>
              </w:rPr>
              <w:t>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w:t>
            </w:r>
            <w:r>
              <w:rPr>
                <w:rFonts w:ascii="Times New Roman" w:hAnsi="Times New Roman"/>
                <w:sz w:val="20"/>
                <w:szCs w:val="20"/>
              </w:rPr>
              <w:t xml:space="preserve">ля </w:t>
            </w:r>
            <w:r>
              <w:rPr>
                <w:rFonts w:ascii="Times New Roman" w:hAnsi="Times New Roman"/>
                <w:sz w:val="20"/>
                <w:szCs w:val="20"/>
              </w:rPr>
              <w:t>КЗ«Ліцей №</w:t>
            </w:r>
            <w:r>
              <w:rPr>
                <w:rFonts w:ascii="Times New Roman" w:hAnsi="Times New Roman"/>
                <w:sz w:val="20"/>
                <w:szCs w:val="20"/>
              </w:rPr>
              <w:t>9</w:t>
            </w:r>
            <w:r>
              <w:rPr>
                <w:rFonts w:ascii="Times New Roman" w:hAnsi="Times New Roman"/>
                <w:sz w:val="20"/>
                <w:szCs w:val="20"/>
              </w:rPr>
              <w:t xml:space="preserve"> </w:t>
            </w:r>
            <w:r>
              <w:rPr>
                <w:rFonts w:ascii="Times New Roman" w:hAnsi="Times New Roman"/>
                <w:sz w:val="20"/>
                <w:szCs w:val="20"/>
              </w:rPr>
              <w:t>Покровської міської ради Дніпропетровської області»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Джонсона</w:t>
            </w:r>
            <w:r>
              <w:rPr>
                <w:rFonts w:ascii="Times New Roman" w:hAnsi="Times New Roman"/>
                <w:sz w:val="20"/>
                <w:szCs w:val="20"/>
              </w:rPr>
              <w:t xml:space="preserve">, </w:t>
            </w:r>
            <w:r>
              <w:rPr>
                <w:rFonts w:ascii="Times New Roman" w:hAnsi="Times New Roman"/>
                <w:sz w:val="20"/>
                <w:szCs w:val="20"/>
              </w:rPr>
              <w:t>29а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87</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10096</w:t>
            </w:r>
            <w:r>
              <w:rPr>
                <w:rFonts w:ascii="Times New Roman" w:hAnsi="Times New Roman"/>
                <w:sz w:val="20"/>
                <w:szCs w:val="20"/>
              </w:rPr>
              <w:t>,</w:t>
            </w:r>
            <w:r>
              <w:rPr>
                <w:rFonts w:ascii="Times New Roman" w:hAnsi="Times New Roman"/>
                <w:sz w:val="20"/>
                <w:szCs w:val="20"/>
              </w:rPr>
              <w:t>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6155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w:t>
            </w:r>
            <w:r>
              <w:rPr>
                <w:rFonts w:ascii="Times New Roman" w:hAnsi="Times New Roman"/>
                <w:sz w:val="20"/>
                <w:szCs w:val="20"/>
              </w:rPr>
              <w:t xml:space="preserve">ля </w:t>
            </w:r>
            <w:r>
              <w:rPr>
                <w:rFonts w:ascii="Times New Roman" w:hAnsi="Times New Roman"/>
                <w:sz w:val="20"/>
                <w:szCs w:val="20"/>
              </w:rPr>
              <w:t>КЗ</w:t>
            </w:r>
            <w:r>
              <w:rPr>
                <w:rFonts w:ascii="Times New Roman" w:hAnsi="Times New Roman"/>
                <w:sz w:val="20"/>
                <w:szCs w:val="20"/>
              </w:rPr>
              <w:t>ДО</w:t>
            </w:r>
            <w:r>
              <w:rPr>
                <w:rFonts w:ascii="Times New Roman" w:hAnsi="Times New Roman"/>
                <w:sz w:val="20"/>
                <w:szCs w:val="20"/>
              </w:rPr>
              <w:t>№</w:t>
            </w:r>
            <w:r>
              <w:rPr>
                <w:rFonts w:ascii="Times New Roman" w:hAnsi="Times New Roman"/>
                <w:sz w:val="20"/>
                <w:szCs w:val="20"/>
              </w:rPr>
              <w:t>2</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Малки</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2021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740</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740</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r>
              <w:rPr>
                <w:rFonts w:ascii="Times New Roman" w:hAnsi="Times New Roman"/>
                <w:sz w:val="20"/>
                <w:szCs w:val="20"/>
              </w:rPr>
              <w:t>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115</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з господарськими </w:t>
            </w:r>
            <w:r>
              <w:rPr>
                <w:rFonts w:ascii="Times New Roman" w:hAnsi="Times New Roman"/>
                <w:sz w:val="20"/>
                <w:szCs w:val="20"/>
              </w:rPr>
              <w:t xml:space="preserve">(допоміжними) будівлями </w:t>
            </w:r>
            <w:r>
              <w:rPr>
                <w:rFonts w:ascii="Times New Roman" w:hAnsi="Times New Roman"/>
                <w:sz w:val="20"/>
                <w:szCs w:val="20"/>
              </w:rPr>
              <w:t>та</w:t>
            </w:r>
            <w:r>
              <w:rPr>
                <w:rFonts w:ascii="Times New Roman" w:hAnsi="Times New Roman"/>
                <w:sz w:val="20"/>
                <w:szCs w:val="20"/>
              </w:rPr>
              <w:t xml:space="preserve"> спорудами </w:t>
            </w:r>
            <w:r>
              <w:rPr>
                <w:rFonts w:ascii="Times New Roman" w:hAnsi="Times New Roman"/>
                <w:sz w:val="20"/>
                <w:szCs w:val="20"/>
              </w:rPr>
              <w:t xml:space="preserve">будівля </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ДО№5 «Червона шапочка» (ясла-садок)</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Партизанська</w:t>
            </w:r>
            <w:r>
              <w:rPr>
                <w:rFonts w:ascii="Times New Roman" w:hAnsi="Times New Roman"/>
                <w:sz w:val="20"/>
                <w:szCs w:val="20"/>
              </w:rPr>
              <w:t xml:space="preserve">, </w:t>
            </w:r>
            <w:r>
              <w:rPr>
                <w:rFonts w:ascii="Times New Roman" w:hAnsi="Times New Roman"/>
                <w:sz w:val="20"/>
                <w:szCs w:val="20"/>
              </w:rPr>
              <w:t>37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4</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1088</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978</w:t>
            </w:r>
            <w:r>
              <w:rPr>
                <w:rFonts w:ascii="Times New Roman" w:hAnsi="Times New Roman"/>
                <w:sz w:val="20"/>
                <w:szCs w:val="20"/>
              </w:rPr>
              <w:t>,</w:t>
            </w:r>
            <w:r>
              <w:rPr>
                <w:rFonts w:ascii="Times New Roman" w:hAnsi="Times New Roman"/>
                <w:sz w:val="20"/>
                <w:szCs w:val="20"/>
              </w:rPr>
              <w:t>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Електричне опалення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00- </w:t>
            </w:r>
            <w:r>
              <w:rPr>
                <w:rFonts w:ascii="Times New Roman" w:hAnsi="Times New Roman"/>
                <w:sz w:val="20"/>
                <w:szCs w:val="20"/>
              </w:rPr>
              <w:t>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50 — електричне опалення</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удівля «</w:t>
            </w:r>
            <w:r>
              <w:rPr>
                <w:rFonts w:ascii="Times New Roman" w:hAnsi="Times New Roman"/>
                <w:sz w:val="20"/>
                <w:szCs w:val="20"/>
              </w:rPr>
              <w:t xml:space="preserve">КЗ </w:t>
            </w:r>
            <w:r>
              <w:rPr>
                <w:rFonts w:ascii="Times New Roman" w:hAnsi="Times New Roman"/>
                <w:sz w:val="20"/>
                <w:szCs w:val="20"/>
              </w:rPr>
              <w:t>Д</w:t>
            </w:r>
            <w:r>
              <w:rPr>
                <w:rFonts w:ascii="Times New Roman" w:hAnsi="Times New Roman"/>
                <w:sz w:val="20"/>
                <w:szCs w:val="20"/>
              </w:rPr>
              <w:t>НЗ</w:t>
            </w:r>
            <w:r>
              <w:rPr>
                <w:rFonts w:ascii="Times New Roman" w:hAnsi="Times New Roman"/>
                <w:sz w:val="20"/>
                <w:szCs w:val="20"/>
              </w:rPr>
              <w:t xml:space="preserve"> №</w:t>
            </w:r>
            <w:r>
              <w:rPr>
                <w:rFonts w:ascii="Times New Roman" w:hAnsi="Times New Roman"/>
                <w:sz w:val="20"/>
                <w:szCs w:val="20"/>
              </w:rPr>
              <w:t>11 комбінованого типу культурологічного спрямування м.Покров Дніпропетровської області»</w:t>
            </w:r>
            <w:r>
              <w:rPr>
                <w:rFonts w:ascii="Times New Roman" w:hAnsi="Times New Roman"/>
                <w:sz w:val="20"/>
                <w:szCs w:val="20"/>
              </w:rPr>
              <w:t xml:space="preserve"> «</w:t>
            </w:r>
            <w:r>
              <w:rPr>
                <w:rFonts w:ascii="Times New Roman" w:hAnsi="Times New Roman"/>
                <w:sz w:val="20"/>
                <w:szCs w:val="20"/>
              </w:rPr>
              <w:t>Сонечко</w:t>
            </w:r>
            <w:r>
              <w:rPr>
                <w:rFonts w:ascii="Times New Roman" w:hAnsi="Times New Roman"/>
                <w:sz w:val="20"/>
                <w:szCs w:val="20"/>
              </w:rPr>
              <w:t>» (ясла-садок)</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В</w:t>
            </w:r>
            <w:r>
              <w:rPr>
                <w:rFonts w:ascii="Times New Roman" w:hAnsi="Times New Roman"/>
                <w:sz w:val="20"/>
                <w:szCs w:val="20"/>
              </w:rPr>
              <w:t>ербицького</w:t>
            </w:r>
            <w:r>
              <w:rPr>
                <w:rFonts w:ascii="Times New Roman" w:hAnsi="Times New Roman"/>
                <w:sz w:val="20"/>
                <w:szCs w:val="20"/>
              </w:rPr>
              <w:t xml:space="preserve">, </w:t>
            </w:r>
            <w:r>
              <w:rPr>
                <w:rFonts w:ascii="Times New Roman" w:hAnsi="Times New Roman"/>
                <w:sz w:val="20"/>
                <w:szCs w:val="20"/>
              </w:rPr>
              <w:t>12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454</w:t>
            </w:r>
            <w:r>
              <w:rPr>
                <w:rFonts w:ascii="Times New Roman" w:hAnsi="Times New Roman"/>
                <w:sz w:val="20"/>
                <w:szCs w:val="20"/>
              </w:rPr>
              <w:t>,</w:t>
            </w:r>
            <w:r>
              <w:rPr>
                <w:rFonts w:ascii="Times New Roman" w:hAnsi="Times New Roman"/>
                <w:sz w:val="20"/>
                <w:szCs w:val="20"/>
              </w:rPr>
              <w:t>5</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454</w:t>
            </w:r>
            <w:r>
              <w:rPr>
                <w:rFonts w:ascii="Times New Roman" w:hAnsi="Times New Roman"/>
                <w:sz w:val="20"/>
                <w:szCs w:val="20"/>
              </w:rPr>
              <w:t>,</w:t>
            </w:r>
            <w:r>
              <w:rPr>
                <w:rFonts w:ascii="Times New Roman" w:hAnsi="Times New Roman"/>
                <w:sz w:val="20"/>
                <w:szCs w:val="20"/>
              </w:rPr>
              <w:t>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Електричне опалення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00- </w:t>
            </w:r>
            <w:r>
              <w:rPr>
                <w:rFonts w:ascii="Times New Roman" w:hAnsi="Times New Roman"/>
                <w:sz w:val="20"/>
                <w:szCs w:val="20"/>
              </w:rPr>
              <w:t>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t>50 — електричне опалення</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w:t>
            </w:r>
            <w:r>
              <w:rPr>
                <w:rFonts w:ascii="Times New Roman" w:hAnsi="Times New Roman"/>
                <w:sz w:val="20"/>
                <w:szCs w:val="20"/>
              </w:rPr>
              <w:t>2</w:t>
            </w:r>
            <w:r>
              <w:rPr>
                <w:rFonts w:ascii="Times New Roman" w:hAnsi="Times New Roman"/>
                <w:sz w:val="20"/>
                <w:szCs w:val="20"/>
              </w:rPr>
              <w:t>,</w:t>
            </w:r>
            <w:r>
              <w:rPr>
                <w:rFonts w:ascii="Times New Roman" w:hAnsi="Times New Roman"/>
                <w:sz w:val="20"/>
                <w:szCs w:val="20"/>
              </w:rPr>
              <w:t>9</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КЗ</w:t>
            </w:r>
            <w:r>
              <w:rPr>
                <w:rFonts w:ascii="Times New Roman" w:hAnsi="Times New Roman"/>
                <w:sz w:val="20"/>
                <w:szCs w:val="20"/>
              </w:rPr>
              <w:t>Д</w:t>
            </w:r>
            <w:r>
              <w:rPr>
                <w:rFonts w:ascii="Times New Roman" w:hAnsi="Times New Roman"/>
                <w:sz w:val="20"/>
                <w:szCs w:val="20"/>
              </w:rPr>
              <w:t>О</w:t>
            </w:r>
            <w:r>
              <w:rPr>
                <w:rFonts w:ascii="Times New Roman" w:hAnsi="Times New Roman"/>
                <w:sz w:val="20"/>
                <w:szCs w:val="20"/>
              </w:rPr>
              <w:t>№</w:t>
            </w:r>
            <w:r>
              <w:rPr>
                <w:rFonts w:ascii="Times New Roman" w:hAnsi="Times New Roman"/>
                <w:sz w:val="20"/>
                <w:szCs w:val="20"/>
              </w:rPr>
              <w:t>1</w:t>
            </w:r>
            <w:r>
              <w:rPr>
                <w:rFonts w:ascii="Times New Roman" w:hAnsi="Times New Roman"/>
                <w:sz w:val="20"/>
                <w:szCs w:val="20"/>
              </w:rPr>
              <w:t>3</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України</w:t>
            </w:r>
            <w:r>
              <w:rPr>
                <w:rFonts w:ascii="Times New Roman" w:hAnsi="Times New Roman"/>
                <w:sz w:val="20"/>
                <w:szCs w:val="20"/>
              </w:rPr>
              <w:t xml:space="preserve">, </w:t>
            </w:r>
            <w:r>
              <w:rPr>
                <w:rFonts w:ascii="Times New Roman" w:hAnsi="Times New Roman"/>
                <w:sz w:val="20"/>
                <w:szCs w:val="20"/>
              </w:rPr>
              <w:t>6а</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119</w:t>
            </w:r>
            <w:r>
              <w:rPr>
                <w:rFonts w:ascii="Times New Roman" w:hAnsi="Times New Roman"/>
                <w:sz w:val="20"/>
                <w:szCs w:val="20"/>
              </w:rPr>
              <w:t>,</w:t>
            </w:r>
            <w:r>
              <w:rPr>
                <w:rFonts w:ascii="Times New Roman" w:hAnsi="Times New Roman"/>
                <w:sz w:val="20"/>
                <w:szCs w:val="20"/>
              </w:rPr>
              <w:t>73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Громадський будинок з господарськими </w:t>
            </w:r>
            <w:r>
              <w:rPr>
                <w:rFonts w:ascii="Times New Roman" w:hAnsi="Times New Roman"/>
                <w:sz w:val="20"/>
                <w:szCs w:val="20"/>
              </w:rPr>
              <w:t xml:space="preserve">(допоміжними) будівлями </w:t>
            </w:r>
            <w:r>
              <w:rPr>
                <w:rFonts w:ascii="Times New Roman" w:hAnsi="Times New Roman"/>
                <w:sz w:val="20"/>
                <w:szCs w:val="20"/>
              </w:rPr>
              <w:t>та</w:t>
            </w:r>
            <w:r>
              <w:rPr>
                <w:rFonts w:ascii="Times New Roman" w:hAnsi="Times New Roman"/>
                <w:sz w:val="20"/>
                <w:szCs w:val="20"/>
              </w:rPr>
              <w:t xml:space="preserve"> спорудами - </w:t>
            </w:r>
            <w:r>
              <w:rPr>
                <w:rFonts w:ascii="Times New Roman" w:hAnsi="Times New Roman"/>
                <w:sz w:val="20"/>
                <w:szCs w:val="20"/>
              </w:rPr>
              <w:t xml:space="preserve">будівля </w:t>
            </w:r>
            <w:r>
              <w:rPr>
                <w:rFonts w:ascii="Times New Roman" w:hAnsi="Times New Roman"/>
                <w:sz w:val="20"/>
                <w:szCs w:val="20"/>
              </w:rPr>
              <w:t xml:space="preserve"> </w:t>
            </w:r>
            <w:r>
              <w:rPr>
                <w:rFonts w:ascii="Times New Roman" w:hAnsi="Times New Roman"/>
                <w:sz w:val="20"/>
                <w:szCs w:val="20"/>
              </w:rPr>
              <w:t>КЗ</w:t>
            </w:r>
            <w:r>
              <w:rPr>
                <w:rFonts w:ascii="Times New Roman" w:hAnsi="Times New Roman"/>
                <w:sz w:val="20"/>
                <w:szCs w:val="20"/>
              </w:rPr>
              <w:t>ДО№</w:t>
            </w:r>
            <w:r>
              <w:rPr>
                <w:rFonts w:ascii="Times New Roman" w:hAnsi="Times New Roman"/>
                <w:sz w:val="20"/>
                <w:szCs w:val="20"/>
              </w:rPr>
              <w:t>16</w:t>
            </w:r>
            <w:r>
              <w:rPr>
                <w:rFonts w:ascii="Times New Roman" w:hAnsi="Times New Roman"/>
                <w:sz w:val="20"/>
                <w:szCs w:val="20"/>
              </w:rPr>
              <w:t xml:space="preserve"> (ясла-садок)</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Артану</w:t>
            </w:r>
            <w:r>
              <w:rPr>
                <w:rFonts w:ascii="Times New Roman" w:hAnsi="Times New Roman"/>
                <w:sz w:val="20"/>
                <w:szCs w:val="20"/>
              </w:rPr>
              <w:t xml:space="preserve">, </w:t>
            </w:r>
            <w:r>
              <w:rPr>
                <w:rFonts w:ascii="Times New Roman" w:hAnsi="Times New Roman"/>
                <w:sz w:val="20"/>
                <w:szCs w:val="20"/>
              </w:rPr>
              <w:t>3</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w:t>
            </w:r>
            <w:r>
              <w:rPr>
                <w:rFonts w:ascii="Times New Roman" w:hAnsi="Times New Roman"/>
                <w:sz w:val="20"/>
                <w:szCs w:val="20"/>
              </w:rPr>
              <w:t>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2268</w:t>
            </w:r>
            <w:r>
              <w:rPr>
                <w:rFonts w:ascii="Times New Roman" w:hAnsi="Times New Roman"/>
                <w:sz w:val="20"/>
                <w:szCs w:val="20"/>
              </w:rPr>
              <w:t>,</w:t>
            </w:r>
            <w:r>
              <w:rPr>
                <w:rFonts w:ascii="Times New Roman" w:hAnsi="Times New Roman"/>
                <w:sz w:val="20"/>
                <w:szCs w:val="20"/>
              </w:rPr>
              <w:t>8</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p>
            <w:pPr>
              <w:pStyle w:val="Style20"/>
              <w:jc w:val="center"/>
              <w:rPr>
                <w:rFonts w:ascii="Times New Roman" w:hAnsi="Times New Roman"/>
                <w:sz w:val="20"/>
                <w:szCs w:val="20"/>
              </w:rPr>
            </w:pPr>
            <w:r>
              <w:rPr>
                <w:rFonts w:ascii="Times New Roman" w:hAnsi="Times New Roman"/>
                <w:sz w:val="20"/>
                <w:szCs w:val="20"/>
              </w:rPr>
            </w:r>
          </w:p>
          <w:p>
            <w:pPr>
              <w:pStyle w:val="Style20"/>
              <w:jc w:val="center"/>
              <w:rPr>
                <w:rFonts w:ascii="Times New Roman" w:hAnsi="Times New Roman"/>
                <w:sz w:val="20"/>
                <w:szCs w:val="20"/>
              </w:rPr>
            </w:pPr>
            <w:r>
              <w:rPr>
                <w:rFonts w:ascii="Times New Roman" w:hAnsi="Times New Roman"/>
                <w:sz w:val="20"/>
                <w:szCs w:val="20"/>
              </w:rPr>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69</w:t>
            </w:r>
            <w:r>
              <w:rPr>
                <w:rFonts w:ascii="Times New Roman" w:hAnsi="Times New Roman"/>
                <w:sz w:val="20"/>
                <w:szCs w:val="20"/>
              </w:rPr>
              <w:t>,</w:t>
            </w:r>
            <w:r>
              <w:rPr>
                <w:rFonts w:ascii="Times New Roman" w:hAnsi="Times New Roman"/>
                <w:sz w:val="20"/>
                <w:szCs w:val="20"/>
              </w:rPr>
              <w:t>4</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 xml:space="preserve">КЗ </w:t>
            </w:r>
            <w:r>
              <w:rPr>
                <w:rFonts w:ascii="Times New Roman" w:hAnsi="Times New Roman"/>
                <w:sz w:val="20"/>
                <w:szCs w:val="20"/>
              </w:rPr>
              <w:t>Д</w:t>
            </w:r>
            <w:r>
              <w:rPr>
                <w:rFonts w:ascii="Times New Roman" w:hAnsi="Times New Roman"/>
                <w:sz w:val="20"/>
                <w:szCs w:val="20"/>
              </w:rPr>
              <w:t>НЗ</w:t>
            </w:r>
            <w:r>
              <w:rPr>
                <w:rFonts w:ascii="Times New Roman" w:hAnsi="Times New Roman"/>
                <w:sz w:val="20"/>
                <w:szCs w:val="20"/>
              </w:rPr>
              <w:t xml:space="preserve"> №</w:t>
            </w:r>
            <w:r>
              <w:rPr>
                <w:rFonts w:ascii="Times New Roman" w:hAnsi="Times New Roman"/>
                <w:sz w:val="20"/>
                <w:szCs w:val="20"/>
              </w:rPr>
              <w:t>2</w:t>
            </w:r>
            <w:r>
              <w:rPr>
                <w:rFonts w:ascii="Times New Roman" w:hAnsi="Times New Roman"/>
                <w:sz w:val="20"/>
                <w:szCs w:val="20"/>
              </w:rPr>
              <w:t>1</w:t>
            </w:r>
            <w:r>
              <w:rPr>
                <w:rFonts w:ascii="Times New Roman" w:hAnsi="Times New Roman"/>
                <w:sz w:val="20"/>
                <w:szCs w:val="20"/>
              </w:rPr>
              <w:t xml:space="preserve"> (ясла-садок)</w:t>
            </w:r>
            <w:r>
              <w:rPr>
                <w:rFonts w:ascii="Times New Roman" w:hAnsi="Times New Roman"/>
                <w:sz w:val="20"/>
                <w:szCs w:val="20"/>
              </w:rPr>
              <w:t xml:space="preserve"> </w:t>
            </w:r>
            <w:r>
              <w:rPr>
                <w:rFonts w:ascii="Times New Roman" w:hAnsi="Times New Roman"/>
                <w:sz w:val="20"/>
                <w:szCs w:val="20"/>
              </w:rPr>
              <w:t>комунального художньо-естетичного</w:t>
            </w:r>
            <w:r>
              <w:rPr>
                <w:rFonts w:ascii="Times New Roman" w:hAnsi="Times New Roman"/>
                <w:sz w:val="20"/>
                <w:szCs w:val="20"/>
              </w:rPr>
              <w:t xml:space="preserve"> спрямування м.Покров Дніпропетровської області»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Джонсона</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0</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3710</w:t>
            </w:r>
            <w:r>
              <w:rPr>
                <w:rFonts w:ascii="Times New Roman" w:hAnsi="Times New Roman"/>
                <w:sz w:val="20"/>
                <w:szCs w:val="20"/>
              </w:rPr>
              <w:t>,</w:t>
            </w:r>
            <w:r>
              <w:rPr>
                <w:rFonts w:ascii="Times New Roman" w:hAnsi="Times New Roman"/>
                <w:sz w:val="20"/>
                <w:szCs w:val="20"/>
              </w:rPr>
              <w:t>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3710</w:t>
            </w:r>
            <w:r>
              <w:rPr>
                <w:rFonts w:ascii="Times New Roman" w:hAnsi="Times New Roman"/>
                <w:sz w:val="20"/>
                <w:szCs w:val="20"/>
              </w:rPr>
              <w:t>,</w:t>
            </w:r>
            <w:r>
              <w:rPr>
                <w:rFonts w:ascii="Times New Roman" w:hAnsi="Times New Roman"/>
                <w:sz w:val="20"/>
                <w:szCs w:val="20"/>
              </w:rPr>
              <w:t>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68</w:t>
            </w:r>
            <w:r>
              <w:rPr>
                <w:rFonts w:ascii="Times New Roman" w:hAnsi="Times New Roman"/>
                <w:sz w:val="20"/>
                <w:szCs w:val="20"/>
              </w:rPr>
              <w:t>,</w:t>
            </w:r>
            <w:r>
              <w:rPr>
                <w:rFonts w:ascii="Times New Roman" w:hAnsi="Times New Roman"/>
                <w:sz w:val="20"/>
                <w:szCs w:val="20"/>
              </w:rPr>
              <w:t>1</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КЗ</w:t>
            </w:r>
            <w:r>
              <w:rPr>
                <w:rFonts w:ascii="Times New Roman" w:hAnsi="Times New Roman"/>
                <w:sz w:val="20"/>
                <w:szCs w:val="20"/>
              </w:rPr>
              <w:t>Д</w:t>
            </w:r>
            <w:r>
              <w:rPr>
                <w:rFonts w:ascii="Times New Roman" w:hAnsi="Times New Roman"/>
                <w:sz w:val="20"/>
                <w:szCs w:val="20"/>
              </w:rPr>
              <w:t>О</w:t>
            </w:r>
            <w:r>
              <w:rPr>
                <w:rFonts w:ascii="Times New Roman" w:hAnsi="Times New Roman"/>
                <w:sz w:val="20"/>
                <w:szCs w:val="20"/>
              </w:rPr>
              <w:t xml:space="preserve"> №</w:t>
            </w:r>
            <w:r>
              <w:rPr>
                <w:rFonts w:ascii="Times New Roman" w:hAnsi="Times New Roman"/>
                <w:sz w:val="20"/>
                <w:szCs w:val="20"/>
              </w:rPr>
              <w:t>22</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жонсона</w:t>
            </w:r>
            <w:r>
              <w:rPr>
                <w:rFonts w:ascii="Times New Roman" w:hAnsi="Times New Roman"/>
                <w:sz w:val="20"/>
                <w:szCs w:val="20"/>
              </w:rPr>
              <w:t xml:space="preserve">, </w:t>
            </w:r>
            <w:r>
              <w:rPr>
                <w:rFonts w:ascii="Times New Roman" w:hAnsi="Times New Roman"/>
                <w:sz w:val="20"/>
                <w:szCs w:val="20"/>
              </w:rPr>
              <w:t>29</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86</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3060</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71</w:t>
            </w:r>
            <w:r>
              <w:rPr>
                <w:rFonts w:ascii="Times New Roman" w:hAnsi="Times New Roman"/>
                <w:sz w:val="20"/>
                <w:szCs w:val="20"/>
              </w:rPr>
              <w:t>,</w:t>
            </w:r>
            <w:r>
              <w:rPr>
                <w:rFonts w:ascii="Times New Roman" w:hAnsi="Times New Roman"/>
                <w:sz w:val="20"/>
                <w:szCs w:val="20"/>
              </w:rPr>
              <w:t>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КЗ «</w:t>
            </w:r>
            <w:r>
              <w:rPr>
                <w:rFonts w:ascii="Times New Roman" w:hAnsi="Times New Roman"/>
                <w:sz w:val="20"/>
                <w:szCs w:val="20"/>
              </w:rPr>
              <w:t>Шолоховський ліцей»</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w:t>
            </w:r>
            <w:r>
              <w:rPr>
                <w:rFonts w:ascii="Times New Roman" w:hAnsi="Times New Roman"/>
                <w:sz w:val="20"/>
                <w:szCs w:val="20"/>
              </w:rPr>
              <w:t>с</w:t>
            </w:r>
            <w:r>
              <w:rPr>
                <w:rFonts w:ascii="Times New Roman" w:hAnsi="Times New Roman"/>
                <w:sz w:val="20"/>
                <w:szCs w:val="20"/>
              </w:rPr>
              <w:t xml:space="preserve">. </w:t>
            </w:r>
            <w:r>
              <w:rPr>
                <w:rFonts w:ascii="Times New Roman" w:hAnsi="Times New Roman"/>
                <w:sz w:val="20"/>
                <w:szCs w:val="20"/>
              </w:rPr>
              <w:t>Шолохове</w:t>
            </w:r>
            <w:r>
              <w:rPr>
                <w:rFonts w:ascii="Times New Roman" w:hAnsi="Times New Roman"/>
                <w:sz w:val="20"/>
                <w:szCs w:val="20"/>
              </w:rPr>
              <w:t>, вул.</w:t>
            </w:r>
            <w:r>
              <w:rPr>
                <w:rFonts w:ascii="Times New Roman" w:hAnsi="Times New Roman"/>
                <w:sz w:val="20"/>
                <w:szCs w:val="20"/>
              </w:rPr>
              <w:t>Шкільна,</w:t>
            </w:r>
            <w:r>
              <w:rPr>
                <w:rFonts w:ascii="Times New Roman" w:hAnsi="Times New Roman"/>
                <w:sz w:val="20"/>
                <w:szCs w:val="20"/>
              </w:rPr>
              <w:t xml:space="preserve"> </w:t>
            </w:r>
            <w:r>
              <w:rPr>
                <w:rFonts w:ascii="Times New Roman" w:hAnsi="Times New Roman"/>
                <w:sz w:val="20"/>
                <w:szCs w:val="20"/>
              </w:rPr>
              <w:t>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4905,6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4905,6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1720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39</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 xml:space="preserve">Шолоховський ліцей, </w:t>
            </w:r>
            <w:r>
              <w:rPr>
                <w:rFonts w:ascii="Times New Roman" w:hAnsi="Times New Roman"/>
                <w:sz w:val="20"/>
                <w:szCs w:val="20"/>
              </w:rPr>
              <w:t>дошкільне відділення, ДНЗ Сонечко</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w:t>
            </w:r>
            <w:r>
              <w:rPr>
                <w:rFonts w:ascii="Times New Roman" w:hAnsi="Times New Roman"/>
                <w:sz w:val="20"/>
                <w:szCs w:val="20"/>
              </w:rPr>
              <w:t>с</w:t>
            </w:r>
            <w:r>
              <w:rPr>
                <w:rFonts w:ascii="Times New Roman" w:hAnsi="Times New Roman"/>
                <w:sz w:val="20"/>
                <w:szCs w:val="20"/>
              </w:rPr>
              <w:t xml:space="preserve">. </w:t>
            </w:r>
            <w:r>
              <w:rPr>
                <w:rFonts w:ascii="Times New Roman" w:hAnsi="Times New Roman"/>
                <w:sz w:val="20"/>
                <w:szCs w:val="20"/>
              </w:rPr>
              <w:t>Шолохове</w:t>
            </w:r>
            <w:r>
              <w:rPr>
                <w:rFonts w:ascii="Times New Roman" w:hAnsi="Times New Roman"/>
                <w:sz w:val="20"/>
                <w:szCs w:val="20"/>
              </w:rPr>
              <w:t>, вул.</w:t>
            </w:r>
            <w:r>
              <w:rPr>
                <w:rFonts w:ascii="Times New Roman" w:hAnsi="Times New Roman"/>
                <w:sz w:val="20"/>
                <w:szCs w:val="20"/>
              </w:rPr>
              <w:t>Сонячна</w:t>
            </w:r>
            <w:r>
              <w:rPr>
                <w:rFonts w:ascii="Times New Roman" w:hAnsi="Times New Roman"/>
                <w:sz w:val="20"/>
                <w:szCs w:val="20"/>
              </w:rPr>
              <w:t>,</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91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842,3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842</w:t>
            </w:r>
            <w:r>
              <w:rPr>
                <w:rFonts w:ascii="Times New Roman" w:hAnsi="Times New Roman"/>
                <w:sz w:val="20"/>
                <w:szCs w:val="20"/>
              </w:rPr>
              <w:t>,</w:t>
            </w:r>
            <w:r>
              <w:rPr>
                <w:rFonts w:ascii="Times New Roman" w:hAnsi="Times New Roman"/>
                <w:sz w:val="20"/>
                <w:szCs w:val="20"/>
              </w:rPr>
              <w:t>3</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Власна газова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ТОВ «Нафтогаз Трейдінг»</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232,5- приєднана потужність, 16,4- дозволена потужність</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w:t>
            </w:r>
            <w:r>
              <w:rPr>
                <w:rFonts w:ascii="Times New Roman" w:hAnsi="Times New Roman"/>
                <w:sz w:val="20"/>
                <w:szCs w:val="20"/>
              </w:rPr>
              <w:t xml:space="preserve">удівля </w:t>
            </w:r>
            <w:r>
              <w:rPr>
                <w:rFonts w:ascii="Times New Roman" w:hAnsi="Times New Roman"/>
                <w:sz w:val="20"/>
                <w:szCs w:val="20"/>
              </w:rPr>
              <w:t>дитячого садку</w:t>
            </w:r>
            <w:r>
              <w:rPr>
                <w:rFonts w:ascii="Times New Roman" w:hAnsi="Times New Roman"/>
                <w:sz w:val="20"/>
                <w:szCs w:val="20"/>
              </w:rPr>
              <w:t xml:space="preserve">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w:t>
            </w:r>
            <w:r>
              <w:rPr>
                <w:rFonts w:ascii="Times New Roman" w:hAnsi="Times New Roman"/>
                <w:sz w:val="20"/>
                <w:szCs w:val="20"/>
              </w:rPr>
              <w:t>с</w:t>
            </w:r>
            <w:r>
              <w:rPr>
                <w:rFonts w:ascii="Times New Roman" w:hAnsi="Times New Roman"/>
                <w:sz w:val="20"/>
                <w:szCs w:val="20"/>
              </w:rPr>
              <w:t xml:space="preserve">. </w:t>
            </w:r>
            <w:r>
              <w:rPr>
                <w:rFonts w:ascii="Times New Roman" w:hAnsi="Times New Roman"/>
                <w:sz w:val="20"/>
                <w:szCs w:val="20"/>
              </w:rPr>
              <w:t>Шолохове</w:t>
            </w:r>
            <w:r>
              <w:rPr>
                <w:rFonts w:ascii="Times New Roman" w:hAnsi="Times New Roman"/>
                <w:sz w:val="20"/>
                <w:szCs w:val="20"/>
              </w:rPr>
              <w:t>, вул.</w:t>
            </w:r>
            <w:r>
              <w:rPr>
                <w:rFonts w:ascii="Times New Roman" w:hAnsi="Times New Roman"/>
                <w:sz w:val="20"/>
                <w:szCs w:val="20"/>
              </w:rPr>
              <w:t>Зоряна</w:t>
            </w:r>
            <w:r>
              <w:rPr>
                <w:rFonts w:ascii="Times New Roman" w:hAnsi="Times New Roman"/>
                <w:sz w:val="20"/>
                <w:szCs w:val="20"/>
              </w:rPr>
              <w:t>,</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46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дошкільної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68</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250</w:t>
            </w:r>
            <w:r>
              <w:rPr>
                <w:rFonts w:ascii="Times New Roman" w:hAnsi="Times New Roman"/>
                <w:sz w:val="20"/>
                <w:szCs w:val="20"/>
              </w:rPr>
              <w:t>,</w:t>
            </w:r>
            <w:r>
              <w:rPr>
                <w:rFonts w:ascii="Times New Roman" w:hAnsi="Times New Roman"/>
                <w:sz w:val="20"/>
                <w:szCs w:val="20"/>
              </w:rPr>
              <w:t>7</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250</w:t>
            </w:r>
            <w:r>
              <w:rPr>
                <w:rFonts w:ascii="Times New Roman" w:hAnsi="Times New Roman"/>
                <w:sz w:val="20"/>
                <w:szCs w:val="20"/>
              </w:rPr>
              <w:t>,</w:t>
            </w:r>
            <w:r>
              <w:rPr>
                <w:rFonts w:ascii="Times New Roman" w:hAnsi="Times New Roman"/>
                <w:sz w:val="20"/>
                <w:szCs w:val="20"/>
              </w:rPr>
              <w:t>7</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водопостачання</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Нежитлова будівля</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7</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w:t>
            </w:r>
            <w:r>
              <w:rPr>
                <w:rFonts w:ascii="Times New Roman" w:hAnsi="Times New Roman"/>
                <w:sz w:val="20"/>
                <w:szCs w:val="20"/>
              </w:rPr>
              <w:t>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w:t>
            </w:r>
            <w:r>
              <w:rPr>
                <w:rFonts w:ascii="Times New Roman" w:hAnsi="Times New Roman"/>
                <w:sz w:val="20"/>
                <w:szCs w:val="20"/>
              </w:rPr>
              <w:t>,</w:t>
            </w: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1382</w:t>
            </w:r>
            <w:r>
              <w:rPr>
                <w:rFonts w:ascii="Times New Roman" w:hAnsi="Times New Roman"/>
                <w:sz w:val="20"/>
                <w:szCs w:val="20"/>
              </w:rPr>
              <w:t>,</w:t>
            </w:r>
            <w:r>
              <w:rPr>
                <w:rFonts w:ascii="Times New Roman" w:hAnsi="Times New Roman"/>
                <w:sz w:val="20"/>
                <w:szCs w:val="20"/>
              </w:rPr>
              <w:t>1</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Будинок творчості для дітей та юнацтва</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Центральна</w:t>
            </w:r>
            <w:r>
              <w:rPr>
                <w:rFonts w:ascii="Times New Roman" w:hAnsi="Times New Roman"/>
                <w:sz w:val="20"/>
                <w:szCs w:val="20"/>
              </w:rPr>
              <w:t xml:space="preserve">, </w:t>
            </w:r>
            <w:r>
              <w:rPr>
                <w:rFonts w:ascii="Times New Roman" w:hAnsi="Times New Roman"/>
                <w:sz w:val="20"/>
                <w:szCs w:val="20"/>
              </w:rPr>
              <w:t>5</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45</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917</w:t>
            </w:r>
            <w:r>
              <w:rPr>
                <w:rFonts w:ascii="Times New Roman" w:hAnsi="Times New Roman"/>
                <w:sz w:val="20"/>
                <w:szCs w:val="20"/>
              </w:rPr>
              <w:t>,</w:t>
            </w:r>
            <w:r>
              <w:rPr>
                <w:rFonts w:ascii="Times New Roman" w:hAnsi="Times New Roman"/>
                <w:sz w:val="20"/>
                <w:szCs w:val="20"/>
              </w:rPr>
              <w:t>5</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917</w:t>
            </w:r>
            <w:r>
              <w:rPr>
                <w:rFonts w:ascii="Times New Roman" w:hAnsi="Times New Roman"/>
                <w:sz w:val="20"/>
                <w:szCs w:val="20"/>
              </w:rPr>
              <w:t>,</w:t>
            </w:r>
            <w:r>
              <w:rPr>
                <w:rFonts w:ascii="Times New Roman" w:hAnsi="Times New Roman"/>
                <w:sz w:val="20"/>
                <w:szCs w:val="20"/>
              </w:rPr>
              <w:t>5</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4,8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Будівля ДЮК «Бригантина» КЗПО «БТДЮ»</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Партизанська</w:t>
            </w:r>
            <w:r>
              <w:rPr>
                <w:rFonts w:ascii="Times New Roman" w:hAnsi="Times New Roman"/>
                <w:sz w:val="20"/>
                <w:szCs w:val="20"/>
              </w:rPr>
              <w:t xml:space="preserve">, </w:t>
            </w:r>
            <w:r>
              <w:rPr>
                <w:rFonts w:ascii="Times New Roman" w:hAnsi="Times New Roman"/>
                <w:sz w:val="20"/>
                <w:szCs w:val="20"/>
              </w:rPr>
              <w:t>69, кв. 16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69</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w:t>
            </w:r>
            <w:r>
              <w:rPr>
                <w:rFonts w:ascii="Times New Roman" w:hAnsi="Times New Roman"/>
                <w:sz w:val="20"/>
                <w:szCs w:val="20"/>
              </w:rPr>
              <w:t>,</w:t>
            </w:r>
            <w:r>
              <w:rPr>
                <w:rFonts w:ascii="Times New Roman" w:hAnsi="Times New Roman"/>
                <w:sz w:val="20"/>
                <w:szCs w:val="20"/>
              </w:rPr>
              <w:t>6</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w:t>
            </w:r>
            <w:r>
              <w:rPr>
                <w:rFonts w:ascii="Times New Roman" w:hAnsi="Times New Roman"/>
                <w:sz w:val="20"/>
                <w:szCs w:val="20"/>
              </w:rPr>
              <w:t>,</w:t>
            </w:r>
            <w:r>
              <w:rPr>
                <w:rFonts w:ascii="Times New Roman" w:hAnsi="Times New Roman"/>
                <w:sz w:val="20"/>
                <w:szCs w:val="20"/>
              </w:rPr>
              <w:t>6</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Навчальна б</w:t>
            </w:r>
            <w:r>
              <w:rPr>
                <w:rFonts w:ascii="Times New Roman" w:hAnsi="Times New Roman"/>
                <w:sz w:val="20"/>
                <w:szCs w:val="20"/>
              </w:rPr>
              <w:t xml:space="preserve">удівля </w:t>
            </w:r>
            <w:r>
              <w:rPr>
                <w:rFonts w:ascii="Times New Roman" w:hAnsi="Times New Roman"/>
                <w:sz w:val="20"/>
                <w:szCs w:val="20"/>
              </w:rPr>
              <w:t>для позашкільних занять</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Балкова</w:t>
            </w:r>
            <w:r>
              <w:rPr>
                <w:rFonts w:ascii="Times New Roman" w:hAnsi="Times New Roman"/>
                <w:sz w:val="20"/>
                <w:szCs w:val="20"/>
              </w:rPr>
              <w:t xml:space="preserve">, </w:t>
            </w:r>
            <w:r>
              <w:rPr>
                <w:rFonts w:ascii="Times New Roman" w:hAnsi="Times New Roman"/>
                <w:sz w:val="20"/>
                <w:szCs w:val="20"/>
              </w:rPr>
              <w:t>20</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42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225</w:t>
            </w:r>
            <w:r>
              <w:rPr>
                <w:rFonts w:ascii="Times New Roman" w:hAnsi="Times New Roman"/>
                <w:sz w:val="20"/>
                <w:szCs w:val="20"/>
              </w:rPr>
              <w:t>,</w:t>
            </w:r>
            <w:r>
              <w:rPr>
                <w:rFonts w:ascii="Times New Roman" w:hAnsi="Times New Roman"/>
                <w:sz w:val="20"/>
                <w:szCs w:val="20"/>
              </w:rPr>
              <w:t>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225</w:t>
            </w:r>
            <w:r>
              <w:rPr>
                <w:rFonts w:ascii="Times New Roman" w:hAnsi="Times New Roman"/>
                <w:sz w:val="20"/>
                <w:szCs w:val="20"/>
              </w:rPr>
              <w:t>,</w:t>
            </w:r>
            <w:r>
              <w:rPr>
                <w:rFonts w:ascii="Times New Roman" w:hAnsi="Times New Roman"/>
                <w:sz w:val="20"/>
                <w:szCs w:val="20"/>
              </w:rPr>
              <w:t>4</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w:t>
            </w:r>
          </w:p>
        </w:tc>
      </w:tr>
      <w:tr>
        <w:trPr>
          <w:trHeight w:val="378" w:hRule="atLeast"/>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w:t>
            </w:r>
            <w:r>
              <w:rPr>
                <w:rFonts w:ascii="Times New Roman" w:hAnsi="Times New Roman"/>
                <w:sz w:val="20"/>
                <w:szCs w:val="20"/>
              </w:rPr>
              <w:t xml:space="preserve">івля КПНЗ «Будинок розвитку </w:t>
            </w:r>
            <w:r>
              <w:rPr>
                <w:rFonts w:ascii="Times New Roman" w:hAnsi="Times New Roman"/>
                <w:sz w:val="20"/>
                <w:szCs w:val="20"/>
              </w:rPr>
              <w:t xml:space="preserve"> дітей та юнацтва»</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жонсона</w:t>
            </w:r>
            <w:r>
              <w:rPr>
                <w:rFonts w:ascii="Times New Roman" w:hAnsi="Times New Roman"/>
                <w:sz w:val="20"/>
                <w:szCs w:val="20"/>
              </w:rPr>
              <w:t xml:space="preserve">, </w:t>
            </w:r>
            <w:r>
              <w:rPr>
                <w:rFonts w:ascii="Times New Roman" w:hAnsi="Times New Roman"/>
                <w:sz w:val="20"/>
                <w:szCs w:val="20"/>
              </w:rPr>
              <w:t>31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поза-</w:t>
            </w:r>
            <w:r>
              <w:rPr>
                <w:rFonts w:ascii="Times New Roman" w:hAnsi="Times New Roman"/>
                <w:sz w:val="20"/>
                <w:szCs w:val="20"/>
              </w:rPr>
              <w:t>шкільної освіти</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90</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4003</w:t>
            </w:r>
            <w:r>
              <w:rPr>
                <w:rFonts w:ascii="Times New Roman" w:hAnsi="Times New Roman"/>
                <w:sz w:val="20"/>
                <w:szCs w:val="20"/>
              </w:rPr>
              <w:t>,</w:t>
            </w:r>
            <w:r>
              <w:rPr>
                <w:rFonts w:ascii="Times New Roman" w:hAnsi="Times New Roman"/>
                <w:sz w:val="20"/>
                <w:szCs w:val="20"/>
              </w:rPr>
              <w:t>8</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4003</w:t>
            </w:r>
            <w:r>
              <w:rPr>
                <w:rFonts w:ascii="Times New Roman" w:hAnsi="Times New Roman"/>
                <w:sz w:val="20"/>
                <w:szCs w:val="20"/>
              </w:rPr>
              <w:t>,</w:t>
            </w:r>
            <w:r>
              <w:rPr>
                <w:rFonts w:ascii="Times New Roman" w:hAnsi="Times New Roman"/>
                <w:sz w:val="20"/>
                <w:szCs w:val="20"/>
              </w:rPr>
              <w:t>8</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183</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Нежитлова будівля</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Вербицького</w:t>
            </w:r>
            <w:r>
              <w:rPr>
                <w:rFonts w:ascii="Times New Roman" w:hAnsi="Times New Roman"/>
                <w:sz w:val="20"/>
                <w:szCs w:val="20"/>
              </w:rPr>
              <w:t xml:space="preserve">, </w:t>
            </w:r>
            <w:r>
              <w:rPr>
                <w:rFonts w:ascii="Times New Roman" w:hAnsi="Times New Roman"/>
                <w:sz w:val="20"/>
                <w:szCs w:val="20"/>
              </w:rPr>
              <w:t>21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62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5624</w:t>
            </w:r>
            <w:r>
              <w:rPr>
                <w:rFonts w:ascii="Times New Roman" w:hAnsi="Times New Roman"/>
                <w:sz w:val="20"/>
                <w:szCs w:val="20"/>
              </w:rPr>
              <w:t>,</w:t>
            </w:r>
            <w:r>
              <w:rPr>
                <w:rFonts w:ascii="Times New Roman" w:hAnsi="Times New Roman"/>
                <w:sz w:val="20"/>
                <w:szCs w:val="20"/>
              </w:rPr>
              <w:t>94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5624</w:t>
            </w:r>
            <w:r>
              <w:rPr>
                <w:rFonts w:ascii="Times New Roman" w:hAnsi="Times New Roman"/>
                <w:sz w:val="20"/>
                <w:szCs w:val="20"/>
              </w:rPr>
              <w:t>,</w:t>
            </w:r>
            <w:r>
              <w:rPr>
                <w:rFonts w:ascii="Times New Roman" w:hAnsi="Times New Roman"/>
                <w:sz w:val="20"/>
                <w:szCs w:val="20"/>
              </w:rPr>
              <w:t>94</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187,4</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w:t>
            </w:r>
            <w:r>
              <w:rPr>
                <w:rFonts w:ascii="Times New Roman" w:hAnsi="Times New Roman"/>
                <w:sz w:val="20"/>
                <w:szCs w:val="20"/>
              </w:rPr>
              <w:t>івля КПНЗ «</w:t>
            </w:r>
            <w:r>
              <w:rPr>
                <w:rFonts w:ascii="Times New Roman" w:hAnsi="Times New Roman"/>
                <w:sz w:val="20"/>
                <w:szCs w:val="20"/>
              </w:rPr>
              <w:t>ДЮСШ ім.Д.Дідика</w:t>
            </w:r>
            <w:r>
              <w:rPr>
                <w:rFonts w:ascii="Times New Roman" w:hAnsi="Times New Roman"/>
                <w:sz w:val="20"/>
                <w:szCs w:val="20"/>
              </w:rPr>
              <w:t>»</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Залужного</w:t>
            </w:r>
            <w:r>
              <w:rPr>
                <w:rFonts w:ascii="Times New Roman" w:hAnsi="Times New Roman"/>
                <w:sz w:val="20"/>
                <w:szCs w:val="20"/>
              </w:rPr>
              <w:t xml:space="preserve">, </w:t>
            </w:r>
            <w:r>
              <w:rPr>
                <w:rFonts w:ascii="Times New Roman" w:hAnsi="Times New Roman"/>
                <w:sz w:val="20"/>
                <w:szCs w:val="20"/>
              </w:rPr>
              <w:t>1</w:t>
            </w:r>
            <w:r>
              <w:rPr>
                <w:rFonts w:ascii="Times New Roman" w:hAnsi="Times New Roman"/>
                <w:sz w:val="20"/>
                <w:szCs w:val="20"/>
              </w:rPr>
              <w:t>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спортив-ного призна-чення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83</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2569</w:t>
            </w:r>
            <w:r>
              <w:rPr>
                <w:rFonts w:ascii="Times New Roman" w:hAnsi="Times New Roman"/>
                <w:sz w:val="20"/>
                <w:szCs w:val="20"/>
              </w:rPr>
              <w:t>,</w:t>
            </w: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2569</w:t>
            </w:r>
            <w:r>
              <w:rPr>
                <w:rFonts w:ascii="Times New Roman" w:hAnsi="Times New Roman"/>
                <w:sz w:val="20"/>
                <w:szCs w:val="20"/>
              </w:rPr>
              <w:t>,</w:t>
            </w:r>
            <w:r>
              <w:rPr>
                <w:rFonts w:ascii="Times New Roman" w:hAnsi="Times New Roman"/>
                <w:sz w:val="20"/>
                <w:szCs w:val="20"/>
              </w:rPr>
              <w:t>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«Укртехресурс»</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15+27</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Буд</w:t>
            </w:r>
            <w:r>
              <w:rPr>
                <w:rFonts w:ascii="Times New Roman" w:hAnsi="Times New Roman"/>
                <w:sz w:val="20"/>
                <w:szCs w:val="20"/>
              </w:rPr>
              <w:t xml:space="preserve">івля </w:t>
            </w:r>
            <w:r>
              <w:rPr>
                <w:rFonts w:ascii="Times New Roman" w:hAnsi="Times New Roman"/>
                <w:sz w:val="20"/>
                <w:szCs w:val="20"/>
              </w:rPr>
              <w:t>гімнастичного залу</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 xml:space="preserve">петровська область, Нікопольський р-н, м. Покров, вул. </w:t>
            </w:r>
            <w:r>
              <w:rPr>
                <w:rFonts w:ascii="Times New Roman" w:hAnsi="Times New Roman"/>
                <w:sz w:val="20"/>
                <w:szCs w:val="20"/>
              </w:rPr>
              <w:t>икви</w:t>
            </w:r>
            <w:r>
              <w:rPr>
                <w:rFonts w:ascii="Times New Roman" w:hAnsi="Times New Roman"/>
                <w:sz w:val="20"/>
                <w:szCs w:val="20"/>
              </w:rPr>
              <w:t xml:space="preserve">, </w:t>
            </w:r>
            <w:r>
              <w:rPr>
                <w:rFonts w:ascii="Times New Roman" w:hAnsi="Times New Roman"/>
                <w:sz w:val="20"/>
                <w:szCs w:val="20"/>
              </w:rPr>
              <w:t>2</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w:t>
            </w:r>
            <w:r>
              <w:rPr>
                <w:rFonts w:ascii="Times New Roman" w:hAnsi="Times New Roman"/>
                <w:sz w:val="20"/>
                <w:szCs w:val="20"/>
              </w:rPr>
              <w:t xml:space="preserve">аклад </w:t>
            </w:r>
            <w:r>
              <w:rPr>
                <w:rFonts w:ascii="Times New Roman" w:hAnsi="Times New Roman"/>
                <w:sz w:val="20"/>
                <w:szCs w:val="20"/>
              </w:rPr>
              <w:t>спортивно-го призна-чення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84</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612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Індивідуальна твердопаливна котельня ТОВ «</w:t>
            </w:r>
            <w:r>
              <w:rPr>
                <w:rFonts w:ascii="Times New Roman" w:hAnsi="Times New Roman"/>
                <w:sz w:val="20"/>
                <w:szCs w:val="20"/>
              </w:rPr>
              <w:t>Атлас Актив</w:t>
            </w:r>
            <w:r>
              <w:rPr>
                <w:rFonts w:ascii="Times New Roman" w:hAnsi="Times New Roman"/>
                <w:sz w:val="20"/>
                <w:szCs w:val="20"/>
              </w:rPr>
              <w:t>»</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водонагрівачі</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Нежитлова будівля </w:t>
            </w:r>
            <w:r>
              <w:rPr>
                <w:rFonts w:ascii="Times New Roman" w:hAnsi="Times New Roman"/>
                <w:sz w:val="20"/>
                <w:szCs w:val="20"/>
              </w:rPr>
              <w:t>з будівлею котельні</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Магістральна</w:t>
            </w:r>
            <w:r>
              <w:rPr>
                <w:rFonts w:ascii="Times New Roman" w:hAnsi="Times New Roman"/>
                <w:sz w:val="20"/>
                <w:szCs w:val="20"/>
              </w:rPr>
              <w:t xml:space="preserve">, </w:t>
            </w:r>
            <w:r>
              <w:rPr>
                <w:rFonts w:ascii="Times New Roman" w:hAnsi="Times New Roman"/>
                <w:sz w:val="20"/>
                <w:szCs w:val="20"/>
              </w:rPr>
              <w:t>346</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70</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2819</w:t>
            </w:r>
            <w:r>
              <w:rPr>
                <w:rFonts w:ascii="Times New Roman" w:hAnsi="Times New Roman"/>
                <w:sz w:val="20"/>
                <w:szCs w:val="20"/>
              </w:rPr>
              <w:t>,</w:t>
            </w:r>
            <w:r>
              <w:rPr>
                <w:rFonts w:ascii="Times New Roman" w:hAnsi="Times New Roman"/>
                <w:sz w:val="20"/>
                <w:szCs w:val="20"/>
              </w:rPr>
              <w:t>4</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2819</w:t>
            </w:r>
            <w:r>
              <w:rPr>
                <w:rFonts w:ascii="Times New Roman" w:hAnsi="Times New Roman"/>
                <w:sz w:val="20"/>
                <w:szCs w:val="20"/>
              </w:rPr>
              <w:t>,</w:t>
            </w:r>
            <w:r>
              <w:rPr>
                <w:rFonts w:ascii="Times New Roman" w:hAnsi="Times New Roman"/>
                <w:sz w:val="20"/>
                <w:szCs w:val="20"/>
              </w:rPr>
              <w:t>4</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Власна </w:t>
            </w:r>
            <w:r>
              <w:rPr>
                <w:rFonts w:ascii="Times New Roman" w:hAnsi="Times New Roman"/>
                <w:sz w:val="20"/>
                <w:szCs w:val="20"/>
              </w:rPr>
              <w:t>твердопаливна (вугільна)</w:t>
            </w:r>
            <w:r>
              <w:rPr>
                <w:rFonts w:ascii="Times New Roman" w:hAnsi="Times New Roman"/>
                <w:sz w:val="20"/>
                <w:szCs w:val="20"/>
              </w:rPr>
              <w:t xml:space="preserve"> котельня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105</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Нежитлова будівля </w:t>
            </w:r>
            <w:r>
              <w:rPr>
                <w:rFonts w:ascii="Times New Roman" w:hAnsi="Times New Roman"/>
                <w:sz w:val="20"/>
                <w:szCs w:val="20"/>
              </w:rPr>
              <w:t>СЗШ 7</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Партизанська</w:t>
            </w:r>
            <w:r>
              <w:rPr>
                <w:rFonts w:ascii="Times New Roman" w:hAnsi="Times New Roman"/>
                <w:sz w:val="20"/>
                <w:szCs w:val="20"/>
              </w:rPr>
              <w:t xml:space="preserve">, </w:t>
            </w:r>
            <w:r>
              <w:rPr>
                <w:rFonts w:ascii="Times New Roman" w:hAnsi="Times New Roman"/>
                <w:sz w:val="20"/>
                <w:szCs w:val="20"/>
              </w:rPr>
              <w:t>73</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Загально-освітній заклад</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w:t>
            </w:r>
            <w:r>
              <w:rPr>
                <w:rFonts w:ascii="Times New Roman" w:hAnsi="Times New Roman"/>
                <w:sz w:val="20"/>
                <w:szCs w:val="20"/>
              </w:rPr>
              <w:t>2</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5930</w:t>
            </w:r>
            <w:r>
              <w:rPr>
                <w:rFonts w:ascii="Times New Roman" w:hAnsi="Times New Roman"/>
                <w:sz w:val="20"/>
                <w:szCs w:val="20"/>
              </w:rPr>
              <w:t>,</w:t>
            </w:r>
            <w:r>
              <w:rPr>
                <w:rFonts w:ascii="Times New Roman" w:hAnsi="Times New Roman"/>
                <w:sz w:val="20"/>
                <w:szCs w:val="20"/>
              </w:rPr>
              <w:t>7</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5930</w:t>
            </w:r>
            <w:r>
              <w:rPr>
                <w:rFonts w:ascii="Times New Roman" w:hAnsi="Times New Roman"/>
                <w:sz w:val="20"/>
                <w:szCs w:val="20"/>
              </w:rPr>
              <w:t>,</w:t>
            </w:r>
            <w:r>
              <w:rPr>
                <w:rFonts w:ascii="Times New Roman" w:hAnsi="Times New Roman"/>
                <w:sz w:val="20"/>
                <w:szCs w:val="20"/>
              </w:rPr>
              <w:t>7</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Електричні мережі «АТ ДТЕК Дніпровські електромережі»</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24,2</w:t>
            </w:r>
          </w:p>
        </w:tc>
      </w:tr>
      <w:tr>
        <w:trPr/>
        <w:tc>
          <w:tcPr>
            <w:tcW w:w="153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 xml:space="preserve">Нежитлова будівля </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Дніпр</w:t>
            </w:r>
            <w:r>
              <w:rPr>
                <w:rFonts w:ascii="Times New Roman" w:hAnsi="Times New Roman"/>
                <w:sz w:val="20"/>
                <w:szCs w:val="20"/>
              </w:rPr>
              <w:t>о</w:t>
            </w:r>
            <w:r>
              <w:rPr>
                <w:rFonts w:ascii="Times New Roman" w:hAnsi="Times New Roman"/>
                <w:sz w:val="20"/>
                <w:szCs w:val="20"/>
              </w:rPr>
              <w:t>петровська область, Нікопольський р-н, м. Покров, вул.</w:t>
            </w:r>
            <w:r>
              <w:rPr>
                <w:rFonts w:ascii="Times New Roman" w:hAnsi="Times New Roman"/>
                <w:sz w:val="20"/>
                <w:szCs w:val="20"/>
              </w:rPr>
              <w:t>Героїв Артану</w:t>
            </w:r>
            <w:r>
              <w:rPr>
                <w:rFonts w:ascii="Times New Roman" w:hAnsi="Times New Roman"/>
                <w:sz w:val="20"/>
                <w:szCs w:val="20"/>
              </w:rPr>
              <w:t xml:space="preserve">, </w:t>
            </w:r>
            <w:r>
              <w:rPr>
                <w:rFonts w:ascii="Times New Roman" w:hAnsi="Times New Roman"/>
                <w:sz w:val="20"/>
                <w:szCs w:val="20"/>
              </w:rPr>
              <w:t>21</w:t>
            </w:r>
          </w:p>
        </w:tc>
        <w:tc>
          <w:tcPr>
            <w:tcW w:w="10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Адмінбуд-івля</w:t>
            </w:r>
          </w:p>
        </w:tc>
        <w:tc>
          <w:tcPr>
            <w:tcW w:w="6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w:t>
            </w:r>
            <w:r>
              <w:rPr>
                <w:rFonts w:ascii="Times New Roman" w:hAnsi="Times New Roman"/>
                <w:sz w:val="20"/>
                <w:szCs w:val="20"/>
              </w:rPr>
              <w:t>7</w:t>
            </w:r>
            <w:r>
              <w:rPr>
                <w:rFonts w:ascii="Times New Roman" w:hAnsi="Times New Roman"/>
                <w:sz w:val="20"/>
                <w:szCs w:val="20"/>
              </w:rPr>
              <w:t>1</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7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3069</w:t>
            </w:r>
            <w:r>
              <w:rPr>
                <w:rFonts w:ascii="Times New Roman" w:hAnsi="Times New Roman"/>
                <w:sz w:val="20"/>
                <w:szCs w:val="20"/>
              </w:rPr>
              <w:t>,</w:t>
            </w: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3069</w:t>
            </w:r>
            <w:r>
              <w:rPr>
                <w:rFonts w:ascii="Times New Roman" w:hAnsi="Times New Roman"/>
                <w:sz w:val="20"/>
                <w:szCs w:val="20"/>
              </w:rPr>
              <w:t>,</w:t>
            </w:r>
            <w:r>
              <w:rPr>
                <w:rFonts w:ascii="Times New Roman" w:hAnsi="Times New Roman"/>
                <w:sz w:val="20"/>
                <w:szCs w:val="20"/>
              </w:rPr>
              <w:t>2</w:t>
            </w:r>
          </w:p>
        </w:tc>
        <w:tc>
          <w:tcPr>
            <w:tcW w:w="169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теплопостачання</w:t>
            </w:r>
          </w:p>
        </w:tc>
        <w:tc>
          <w:tcPr>
            <w:tcW w:w="130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w:t>
            </w:r>
            <w:r>
              <w:rPr>
                <w:rFonts w:ascii="Times New Roman" w:hAnsi="Times New Roman"/>
                <w:sz w:val="20"/>
                <w:szCs w:val="20"/>
              </w:rPr>
              <w:t>ідсутнє гаряче водопостачання</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МКП «Покровводоканал»</w:t>
            </w:r>
          </w:p>
        </w:tc>
        <w:tc>
          <w:tcPr>
            <w:tcW w:w="118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Відсутнє газопостачання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900</w:t>
            </w:r>
          </w:p>
        </w:tc>
        <w:tc>
          <w:tcPr>
            <w:tcW w:w="159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c>
          <w:tcPr>
            <w:tcW w:w="85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Не приєднано до е</w:t>
            </w:r>
            <w:r>
              <w:rPr>
                <w:rFonts w:ascii="Times New Roman" w:hAnsi="Times New Roman"/>
                <w:sz w:val="20"/>
                <w:szCs w:val="20"/>
              </w:rPr>
              <w:t>лектричн</w:t>
            </w:r>
            <w:r>
              <w:rPr>
                <w:rFonts w:ascii="Times New Roman" w:hAnsi="Times New Roman"/>
                <w:sz w:val="20"/>
                <w:szCs w:val="20"/>
              </w:rPr>
              <w:t>их</w:t>
            </w:r>
            <w:r>
              <w:rPr>
                <w:rFonts w:ascii="Times New Roman" w:hAnsi="Times New Roman"/>
                <w:sz w:val="20"/>
                <w:szCs w:val="20"/>
              </w:rPr>
              <w:t xml:space="preserve"> мереж</w:t>
            </w:r>
          </w:p>
        </w:tc>
      </w:tr>
    </w:tbl>
    <w:p>
      <w:pPr>
        <w:pStyle w:val="Normal"/>
        <w:spacing w:lineRule="auto" w:line="259" w:before="0" w:after="0"/>
        <w:jc w:val="end"/>
        <w:rPr/>
      </w:pPr>
      <w:r>
        <w:rPr/>
      </w:r>
    </w:p>
    <w:p>
      <w:pPr>
        <w:pStyle w:val="BodyText"/>
        <w:widowControl/>
        <w:pBdr/>
        <w:spacing w:before="0" w:after="150"/>
        <w:ind w:firstLine="450" w:start="0" w:end="0"/>
        <w:jc w:val="both"/>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color w:val="000000"/>
        </w:rPr>
        <w:sectPr>
          <w:headerReference w:type="default" r:id="rId38"/>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Вихідні дані КНП “ЦПМСД ПМР ДО”, що використовувались для розроблення муніципального енергетичного плану</w:t>
      </w:r>
    </w:p>
    <w:p>
      <w:pPr>
        <w:pStyle w:val="Normal"/>
        <w:ind w:firstLine="567"/>
        <w:jc w:val="end"/>
        <w:rPr>
          <w:rFonts w:ascii="Times New Roman" w:hAnsi="Times New Roman"/>
          <w:sz w:val="26"/>
          <w:szCs w:val="26"/>
        </w:rPr>
      </w:pPr>
      <w:r>
        <w:rPr>
          <w:rFonts w:ascii="Times New Roman" w:hAnsi="Times New Roman"/>
        </w:rPr>
        <w:t>Таблиця 1</w:t>
      </w:r>
    </w:p>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lang w:val="ru-RU"/>
        </w:rPr>
        <w:t xml:space="preserve"> </w:t>
      </w:r>
      <w:r>
        <w:rPr>
          <w:rFonts w:cs="Times New Roman" w:ascii="Times New Roman" w:hAnsi="Times New Roman"/>
          <w:sz w:val="24"/>
          <w:szCs w:val="24"/>
        </w:rPr>
        <w:t xml:space="preserve">Кількість та площа будівель </w:t>
      </w:r>
    </w:p>
    <w:tbl>
      <w:tblPr>
        <w:tblW w:w="9638" w:type="dxa"/>
        <w:jc w:val="start"/>
        <w:tblInd w:w="54" w:type="dxa"/>
        <w:tblLayout w:type="fixed"/>
        <w:tblCellMar>
          <w:top w:w="0" w:type="dxa"/>
          <w:start w:w="54" w:type="dxa"/>
          <w:bottom w:w="0" w:type="dxa"/>
          <w:end w:w="54" w:type="dxa"/>
        </w:tblCellMar>
      </w:tblPr>
      <w:tblGrid>
        <w:gridCol w:w="1700"/>
        <w:gridCol w:w="1024"/>
        <w:gridCol w:w="1013"/>
        <w:gridCol w:w="1200"/>
        <w:gridCol w:w="1350"/>
        <w:gridCol w:w="1027"/>
        <w:gridCol w:w="1300"/>
        <w:gridCol w:w="1024"/>
      </w:tblGrid>
      <w:tr>
        <w:trPr>
          <w:trHeight w:val="1" w:hRule="atLeast"/>
        </w:trPr>
        <w:tc>
          <w:tcPr>
            <w:tcW w:w="17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ru-RU"/>
              </w:rPr>
            </w:pPr>
            <w:r>
              <w:rPr>
                <w:rFonts w:cs="Calibri" w:ascii="Times New Roman" w:hAnsi="Times New Roman"/>
                <w:sz w:val="20"/>
                <w:szCs w:val="20"/>
                <w:lang w:val="ru-RU"/>
              </w:rPr>
            </w:r>
          </w:p>
        </w:tc>
        <w:tc>
          <w:tcPr>
            <w:tcW w:w="1024"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окремих</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власних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w:t>
            </w:r>
          </w:p>
        </w:tc>
        <w:tc>
          <w:tcPr>
            <w:tcW w:w="1027"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всього м</w:t>
            </w:r>
            <w:r>
              <w:rPr>
                <w:rFonts w:cs="Times New Roman" w:ascii="Times New Roman" w:hAnsi="Times New Roman"/>
                <w:b/>
                <w:bCs/>
                <w:sz w:val="20"/>
                <w:szCs w:val="20"/>
                <w:lang w:val="ru-RU"/>
              </w:rPr>
              <w:t>²</w:t>
            </w:r>
          </w:p>
        </w:tc>
        <w:tc>
          <w:tcPr>
            <w:tcW w:w="13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 м</w:t>
            </w:r>
            <w:r>
              <w:rPr>
                <w:rFonts w:cs="Times New Roman" w:ascii="Times New Roman" w:hAnsi="Times New Roman"/>
                <w:b/>
                <w:bCs/>
                <w:sz w:val="20"/>
                <w:szCs w:val="20"/>
                <w:lang w:val="ru-RU"/>
              </w:rPr>
              <w:t>²</w:t>
            </w:r>
          </w:p>
        </w:tc>
        <w:tc>
          <w:tcPr>
            <w:tcW w:w="1024" w:type="dxa"/>
            <w:tcBorders>
              <w:top w:val="single" w:sz="4"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 %</w:t>
            </w:r>
          </w:p>
        </w:tc>
      </w:tr>
      <w:tr>
        <w:trPr>
          <w:trHeight w:val="1" w:hRule="atLeast"/>
        </w:trPr>
        <w:tc>
          <w:tcPr>
            <w:tcW w:w="17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ЗАКЛАДИ ОХОРОНИ ЗДОРОВ'Я</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lang w:val="en-US"/>
              </w:rPr>
              <w:t>(</w:t>
            </w:r>
            <w:r>
              <w:rPr>
                <w:rFonts w:cs="Times New Roman" w:ascii="Times New Roman" w:hAnsi="Times New Roman"/>
                <w:b/>
                <w:bCs/>
                <w:sz w:val="20"/>
                <w:szCs w:val="20"/>
              </w:rPr>
              <w:t>первинн</w:t>
            </w:r>
            <w:r>
              <w:rPr>
                <w:rFonts w:cs="Times New Roman" w:ascii="Times New Roman" w:hAnsi="Times New Roman"/>
                <w:b/>
                <w:bCs/>
                <w:sz w:val="20"/>
                <w:szCs w:val="20"/>
              </w:rPr>
              <w:t>і</w:t>
            </w:r>
            <w:r>
              <w:rPr>
                <w:rFonts w:cs="Times New Roman" w:ascii="Times New Roman" w:hAnsi="Times New Roman"/>
                <w:b/>
                <w:bCs/>
                <w:sz w:val="20"/>
                <w:szCs w:val="20"/>
              </w:rPr>
              <w:t>)</w:t>
            </w:r>
          </w:p>
        </w:tc>
        <w:tc>
          <w:tcPr>
            <w:tcW w:w="1024"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rPr>
            </w:pPr>
            <w:r>
              <w:rPr>
                <w:rFonts w:cs="Calibri" w:ascii="Times New Roman" w:hAnsi="Times New Roman"/>
                <w:sz w:val="20"/>
                <w:szCs w:val="20"/>
              </w:rPr>
              <w:t>1</w:t>
            </w:r>
          </w:p>
        </w:tc>
        <w:tc>
          <w:tcPr>
            <w:tcW w:w="1013"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8</w:t>
            </w:r>
          </w:p>
        </w:tc>
        <w:tc>
          <w:tcPr>
            <w:tcW w:w="12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5</w:t>
            </w:r>
          </w:p>
        </w:tc>
        <w:tc>
          <w:tcPr>
            <w:tcW w:w="135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5</w:t>
            </w:r>
          </w:p>
        </w:tc>
        <w:tc>
          <w:tcPr>
            <w:tcW w:w="1027"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4778,9</w:t>
            </w:r>
          </w:p>
        </w:tc>
        <w:tc>
          <w:tcPr>
            <w:tcW w:w="13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3209,42</w:t>
            </w:r>
          </w:p>
        </w:tc>
        <w:tc>
          <w:tcPr>
            <w:tcW w:w="1024" w:type="dxa"/>
            <w:tcBorders>
              <w:top w:val="single" w:sz="2"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Calibri" w:hAnsi="Calibri" w:cs="Calibri"/>
                <w:lang w:val="en-US"/>
              </w:rPr>
            </w:pPr>
            <w:r>
              <w:rPr>
                <w:rFonts w:cs="Calibri" w:ascii="Times New Roman" w:hAnsi="Times New Roman"/>
                <w:sz w:val="20"/>
                <w:szCs w:val="20"/>
                <w:lang w:val="en-US"/>
              </w:rPr>
              <w:t>75%</w:t>
            </w:r>
          </w:p>
        </w:tc>
      </w:tr>
    </w:tbl>
    <w:p>
      <w:pPr>
        <w:pStyle w:val="Normal"/>
        <w:spacing w:lineRule="auto" w:line="264" w:before="0" w:after="0"/>
        <w:jc w:val="end"/>
        <w:rPr>
          <w:rFonts w:ascii="Times New Roman" w:hAnsi="Times New Roman" w:cs="Times New Roman"/>
          <w:sz w:val="24"/>
          <w:szCs w:val="24"/>
        </w:rPr>
      </w:pPr>
      <w:r>
        <w:rPr>
          <w:rFonts w:cs="Times New Roman" w:ascii="Times New Roman" w:hAnsi="Times New Roman"/>
          <w:sz w:val="24"/>
          <w:szCs w:val="24"/>
        </w:rPr>
        <w:t xml:space="preserve">Таблиця 2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Обсяги споживання енергоресурсів</w:t>
      </w:r>
    </w:p>
    <w:tbl>
      <w:tblPr>
        <w:tblW w:w="9662" w:type="dxa"/>
        <w:jc w:val="start"/>
        <w:tblInd w:w="54" w:type="dxa"/>
        <w:tblLayout w:type="fixed"/>
        <w:tblCellMar>
          <w:top w:w="0" w:type="dxa"/>
          <w:start w:w="54" w:type="dxa"/>
          <w:bottom w:w="0" w:type="dxa"/>
          <w:end w:w="54" w:type="dxa"/>
        </w:tblCellMar>
      </w:tblPr>
      <w:tblGrid>
        <w:gridCol w:w="1875"/>
        <w:gridCol w:w="2038"/>
        <w:gridCol w:w="1985"/>
        <w:gridCol w:w="2040"/>
        <w:gridCol w:w="1724"/>
      </w:tblGrid>
      <w:tr>
        <w:trPr>
          <w:trHeight w:val="26" w:hRule="atLeast"/>
        </w:trPr>
        <w:tc>
          <w:tcPr>
            <w:tcW w:w="18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Роки</w:t>
            </w:r>
          </w:p>
        </w:tc>
      </w:tr>
      <w:tr>
        <w:trPr>
          <w:trHeight w:val="26" w:hRule="atLeast"/>
        </w:trPr>
        <w:tc>
          <w:tcPr>
            <w:tcW w:w="18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2022</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МВт*год</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201,7</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217,6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196,3</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тис.м</w:t>
            </w:r>
            <w:r>
              <w:rPr>
                <w:rFonts w:cs="Times New Roman" w:ascii="Times New Roman" w:hAnsi="Times New Roman"/>
                <w:b/>
                <w:bCs/>
                <w:sz w:val="24"/>
                <w:szCs w:val="24"/>
                <w:lang w:val="en-US"/>
              </w:rPr>
              <w:t>³</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0,046</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Гкал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264,077</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319,884</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243,14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Дрова</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Вугілля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1,861</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1,072</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Бензин</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Дизель</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0,16</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0,2</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1,0</w:t>
            </w:r>
          </w:p>
        </w:tc>
      </w:tr>
    </w:tbl>
    <w:p>
      <w:pPr>
        <w:pStyle w:val="Normal"/>
        <w:spacing w:lineRule="auto" w:line="264" w:before="0" w:after="0"/>
        <w:jc w:val="end"/>
        <w:rPr>
          <w:rFonts w:ascii="Times New Roman" w:hAnsi="Times New Roman" w:cs="Times New Roman"/>
          <w:sz w:val="24"/>
          <w:szCs w:val="24"/>
        </w:rPr>
      </w:pPr>
      <w:r>
        <w:rPr>
          <w:rFonts w:cs="Times New Roman" w:ascii="Times New Roman" w:hAnsi="Times New Roman"/>
          <w:sz w:val="24"/>
          <w:szCs w:val="24"/>
        </w:rPr>
        <w:t xml:space="preserve">Таблиця </w:t>
      </w:r>
      <w:r>
        <w:rPr>
          <w:rFonts w:cs="Times New Roman" w:ascii="Times New Roman" w:hAnsi="Times New Roman"/>
          <w:sz w:val="24"/>
          <w:szCs w:val="24"/>
        </w:rPr>
        <w:t>3</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Тарифи на комунальні послуги</w:t>
      </w:r>
    </w:p>
    <w:tbl>
      <w:tblPr>
        <w:tblW w:w="9662" w:type="dxa"/>
        <w:jc w:val="start"/>
        <w:tblInd w:w="54" w:type="dxa"/>
        <w:tblLayout w:type="fixed"/>
        <w:tblCellMar>
          <w:top w:w="0" w:type="dxa"/>
          <w:start w:w="54" w:type="dxa"/>
          <w:bottom w:w="0" w:type="dxa"/>
          <w:end w:w="54" w:type="dxa"/>
        </w:tblCellMar>
      </w:tblPr>
      <w:tblGrid>
        <w:gridCol w:w="2773"/>
        <w:gridCol w:w="1638"/>
        <w:gridCol w:w="1927"/>
        <w:gridCol w:w="1600"/>
        <w:gridCol w:w="1724"/>
      </w:tblGrid>
      <w:tr>
        <w:trPr>
          <w:trHeight w:val="26" w:hRule="atLeast"/>
        </w:trPr>
        <w:tc>
          <w:tcPr>
            <w:tcW w:w="2773"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Од. вим.</w:t>
            </w:r>
          </w:p>
        </w:tc>
        <w:tc>
          <w:tcPr>
            <w:tcW w:w="525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Роки</w:t>
            </w:r>
          </w:p>
        </w:tc>
      </w:tr>
      <w:tr>
        <w:trPr>
          <w:trHeight w:val="26" w:hRule="atLeast"/>
        </w:trPr>
        <w:tc>
          <w:tcPr>
            <w:tcW w:w="2773"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2024</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МВт*год</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3598,72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6286,76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7635,44</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19465,04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Гкал</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3498,86</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4456,51</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5789,25</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Тверде паливо</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Тонна</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4836,50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9646,68</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25,21</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32,05</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23,70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15,40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24"/>
                <w:szCs w:val="24"/>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232,56</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282,14</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sz w:val="24"/>
                <w:szCs w:val="24"/>
                <w:lang w:val="en-US"/>
              </w:rPr>
              <w:t>249,72</w:t>
            </w:r>
          </w:p>
        </w:tc>
      </w:tr>
    </w:tbl>
    <w:p>
      <w:pPr>
        <w:pStyle w:val="Normal"/>
        <w:autoSpaceDE w:val="false"/>
        <w:jc w:val="end"/>
        <w:rPr>
          <w:rFonts w:ascii="Times New Roman" w:hAnsi="Times New Roman" w:cs="Times New Roman"/>
          <w:sz w:val="24"/>
          <w:szCs w:val="24"/>
          <w:lang w:val="uk-UA"/>
        </w:rPr>
      </w:pPr>
      <w:r>
        <w:rPr>
          <w:rFonts w:cs="Times New Roman" w:ascii="Times New Roman" w:hAnsi="Times New Roman"/>
          <w:sz w:val="24"/>
          <w:szCs w:val="24"/>
          <w:lang w:val="uk-UA"/>
        </w:rPr>
      </w:r>
    </w:p>
    <w:p>
      <w:pPr>
        <w:pStyle w:val="Normal"/>
        <w:autoSpaceDE w:val="false"/>
        <w:jc w:val="end"/>
        <w:rPr>
          <w:rFonts w:ascii="Times New Roman" w:hAnsi="Times New Roman"/>
          <w:sz w:val="24"/>
          <w:szCs w:val="24"/>
        </w:rPr>
      </w:pPr>
      <w:r>
        <w:rPr>
          <w:rFonts w:cs="Times New Roman" w:ascii="Times New Roman" w:hAnsi="Times New Roman"/>
          <w:sz w:val="24"/>
          <w:szCs w:val="24"/>
          <w:lang w:val="uk-UA"/>
        </w:rPr>
        <w:t xml:space="preserve">Таблиця </w:t>
      </w:r>
      <w:r>
        <w:rPr>
          <w:rFonts w:cs="Times New Roman" w:ascii="Times New Roman" w:hAnsi="Times New Roman"/>
          <w:sz w:val="24"/>
          <w:szCs w:val="24"/>
          <w:lang w:val="uk-UA"/>
        </w:rPr>
        <w:t>4</w:t>
      </w:r>
    </w:p>
    <w:p>
      <w:pPr>
        <w:pStyle w:val="Normal"/>
        <w:autoSpaceDE w:val="false"/>
        <w:jc w:val="center"/>
        <w:rPr>
          <w:rFonts w:ascii="Times New Roman" w:hAnsi="Times New Roman"/>
          <w:sz w:val="24"/>
          <w:szCs w:val="24"/>
          <w:lang w:val="uk-UA"/>
        </w:rPr>
      </w:pPr>
      <w:r>
        <w:rPr>
          <w:rFonts w:ascii="Times New Roman" w:hAnsi="Times New Roman"/>
          <w:sz w:val="24"/>
          <w:szCs w:val="24"/>
          <w:lang w:val="uk-UA"/>
        </w:rPr>
        <w:t>Річне споживання палива транспортними засобами за видами палива</w:t>
      </w:r>
    </w:p>
    <w:tbl>
      <w:tblPr>
        <w:tblW w:w="9696" w:type="dxa"/>
        <w:jc w:val="start"/>
        <w:tblInd w:w="-103" w:type="dxa"/>
        <w:tblLayout w:type="fixed"/>
        <w:tblCellMar>
          <w:top w:w="0" w:type="dxa"/>
          <w:start w:w="55" w:type="dxa"/>
          <w:bottom w:w="0"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Вид палива</w:t>
            </w:r>
          </w:p>
        </w:tc>
        <w:tc>
          <w:tcPr>
            <w:tcW w:w="2316"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Од. вим.</w:t>
            </w:r>
          </w:p>
        </w:tc>
        <w:tc>
          <w:tcPr>
            <w:tcW w:w="1750"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2022</w:t>
            </w:r>
          </w:p>
        </w:tc>
        <w:tc>
          <w:tcPr>
            <w:tcW w:w="1475" w:type="dxa"/>
            <w:tcBorders>
              <w:top w:val="single" w:sz="4" w:space="0" w:color="000000"/>
              <w:start w:val="single" w:sz="4" w:space="0" w:color="000000"/>
              <w:bottom w:val="single" w:sz="2" w:space="0" w:color="000000"/>
              <w:end w:val="single" w:sz="2"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2023</w:t>
            </w:r>
          </w:p>
        </w:tc>
        <w:tc>
          <w:tcPr>
            <w:tcW w:w="1483" w:type="dxa"/>
            <w:tcBorders>
              <w:top w:val="single" w:sz="4" w:space="0" w:color="000000"/>
              <w:start w:val="single" w:sz="4" w:space="0" w:color="000000"/>
              <w:bottom w:val="single" w:sz="2" w:space="0" w:color="000000"/>
              <w:end w:val="single" w:sz="4" w:space="0" w:color="000000"/>
            </w:tcBorders>
          </w:tcPr>
          <w:p>
            <w:pPr>
              <w:pStyle w:val="Normal"/>
              <w:autoSpaceDE w:val="false"/>
              <w:jc w:val="center"/>
              <w:rPr>
                <w:rFonts w:ascii="Times New Roman" w:hAnsi="Times New Roman"/>
                <w:b/>
                <w:bCs/>
                <w:sz w:val="24"/>
                <w:szCs w:val="24"/>
                <w:lang w:val="uk-UA"/>
              </w:rPr>
            </w:pPr>
            <w:r>
              <w:rPr>
                <w:rFonts w:ascii="Times New Roman" w:hAnsi="Times New Roman"/>
                <w:b/>
                <w:bCs/>
                <w:sz w:val="24"/>
                <w:szCs w:val="24"/>
                <w:lang w:val="uk-UA"/>
              </w:rPr>
              <w:t>2024</w:t>
            </w:r>
          </w:p>
        </w:tc>
      </w:tr>
      <w:tr>
        <w:trPr>
          <w:trHeight w:val="27" w:hRule="atLeast"/>
        </w:trPr>
        <w:tc>
          <w:tcPr>
            <w:tcW w:w="2672"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Бензин</w:t>
            </w:r>
          </w:p>
        </w:tc>
        <w:tc>
          <w:tcPr>
            <w:tcW w:w="2316"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10,7</w:t>
            </w:r>
          </w:p>
        </w:tc>
        <w:tc>
          <w:tcPr>
            <w:tcW w:w="1475" w:type="dxa"/>
            <w:tcBorders>
              <w:top w:val="single" w:sz="4"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14,6</w:t>
            </w:r>
          </w:p>
        </w:tc>
        <w:tc>
          <w:tcPr>
            <w:tcW w:w="1483" w:type="dxa"/>
            <w:tcBorders>
              <w:top w:val="single" w:sz="4"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10,6</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Дизель</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2,1</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3,4</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3,6</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Скраплений газ</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4,7</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2,3</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Стиснений газ (метан)</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тис. л</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r>
      <w:tr>
        <w:trPr>
          <w:trHeight w:val="27" w:hRule="atLeast"/>
        </w:trPr>
        <w:tc>
          <w:tcPr>
            <w:tcW w:w="2672"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Нафтопродукти (Разом)</w:t>
            </w:r>
          </w:p>
        </w:tc>
        <w:tc>
          <w:tcPr>
            <w:tcW w:w="2316"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sz w:val="24"/>
                <w:szCs w:val="24"/>
                <w:lang w:val="uk-UA"/>
              </w:rPr>
            </w:pPr>
            <w:r>
              <w:rPr>
                <w:rFonts w:ascii="Times New Roman" w:hAnsi="Times New Roman"/>
                <w:sz w:val="24"/>
                <w:szCs w:val="24"/>
                <w:lang w:val="uk-UA"/>
              </w:rPr>
              <w:t>МВт·год</w:t>
            </w:r>
          </w:p>
        </w:tc>
        <w:tc>
          <w:tcPr>
            <w:tcW w:w="1750"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75" w:type="dxa"/>
            <w:tcBorders>
              <w:top w:val="single" w:sz="2" w:space="0" w:color="000000"/>
              <w:start w:val="single" w:sz="4" w:space="0" w:color="000000"/>
              <w:bottom w:val="single" w:sz="4" w:space="0" w:color="000000"/>
              <w:end w:val="single" w:sz="2"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c>
          <w:tcPr>
            <w:tcW w:w="1483" w:type="dxa"/>
            <w:tcBorders>
              <w:top w:val="single" w:sz="2" w:space="0" w:color="000000"/>
              <w:start w:val="single" w:sz="4" w:space="0" w:color="000000"/>
              <w:bottom w:val="single" w:sz="4" w:space="0" w:color="000000"/>
              <w:end w:val="single" w:sz="4" w:space="0" w:color="000000"/>
            </w:tcBorders>
          </w:tcPr>
          <w:p>
            <w:pPr>
              <w:pStyle w:val="Normal"/>
              <w:autoSpaceDE w:val="false"/>
              <w:jc w:val="center"/>
              <w:rPr>
                <w:rFonts w:ascii="Times New Roman" w:hAnsi="Times New Roman" w:cs="Calibri"/>
                <w:sz w:val="24"/>
                <w:szCs w:val="24"/>
                <w:lang w:val="uk-UA"/>
              </w:rPr>
            </w:pPr>
            <w:r>
              <w:rPr>
                <w:rFonts w:cs="Calibri" w:ascii="Times New Roman" w:hAnsi="Times New Roman"/>
                <w:sz w:val="24"/>
                <w:szCs w:val="24"/>
                <w:lang w:val="uk-UA"/>
              </w:rPr>
              <w:t>-</w:t>
            </w:r>
          </w:p>
        </w:tc>
      </w:tr>
    </w:tbl>
    <w:p>
      <w:pPr>
        <w:pStyle w:val="Normal"/>
        <w:autoSpaceDE w:val="false"/>
        <w:spacing w:lineRule="auto" w:line="264"/>
        <w:jc w:val="end"/>
        <w:rPr/>
        <w:sectPr>
          <w:headerReference w:type="default" r:id="rId39"/>
          <w:headerReference w:type="first" r:id="rId40"/>
          <w:type w:val="nextPage"/>
          <w:pgSz w:w="11906" w:h="16838"/>
          <w:pgMar w:left="1701" w:right="850" w:gutter="0" w:header="0" w:top="1134" w:footer="0" w:bottom="1701"/>
          <w:pgNumType w:fmt="decimal"/>
          <w:formProt w:val="false"/>
          <w:textDirection w:val="lrTb"/>
          <w:docGrid w:type="default" w:linePitch="312" w:charSpace="4294961151"/>
        </w:sectPr>
      </w:pPr>
      <w:r>
        <w:rPr/>
      </w:r>
    </w:p>
    <w:p>
      <w:pPr>
        <w:pStyle w:val="Normal"/>
        <w:spacing w:lineRule="auto" w:line="264" w:before="0" w:after="0"/>
        <w:ind w:end="80"/>
        <w:jc w:val="end"/>
        <w:rPr>
          <w:rFonts w:ascii="Times New Roman" w:hAnsi="Times New Roman" w:cs="Times New Roman"/>
          <w:sz w:val="24"/>
          <w:szCs w:val="24"/>
        </w:rPr>
      </w:pPr>
      <w:r>
        <w:rPr>
          <w:rFonts w:cs="Times New Roman" w:ascii="Times New Roman" w:hAnsi="Times New Roman"/>
          <w:sz w:val="24"/>
          <w:szCs w:val="24"/>
        </w:rPr>
        <w:t xml:space="preserve">Таблиця </w:t>
      </w:r>
      <w:r>
        <w:rPr>
          <w:rFonts w:cs="Times New Roman" w:ascii="Times New Roman" w:hAnsi="Times New Roman"/>
          <w:sz w:val="24"/>
          <w:szCs w:val="24"/>
        </w:rPr>
        <w:t>5</w:t>
      </w:r>
      <w:r>
        <w:rPr>
          <w:rFonts w:cs="Times New Roman" w:ascii="Times New Roman" w:hAnsi="Times New Roman"/>
          <w:sz w:val="24"/>
          <w:szCs w:val="24"/>
        </w:rPr>
        <w:t xml:space="preserve"> </w:t>
      </w:r>
    </w:p>
    <w:p>
      <w:pPr>
        <w:pStyle w:val="Normal"/>
        <w:spacing w:lineRule="auto" w:line="264" w:before="0" w:after="0"/>
        <w:ind w:end="80"/>
        <w:jc w:val="end"/>
        <w:rPr>
          <w:rFonts w:ascii="Calibri" w:hAnsi="Calibri" w:cs="Calibri"/>
          <w:lang w:val="en-US"/>
        </w:rPr>
      </w:pPr>
      <w:r>
        <w:rPr>
          <w:rFonts w:cs="Calibri" w:ascii="Calibri" w:hAnsi="Calibri"/>
          <w:lang w:val="en-US"/>
        </w:rPr>
      </w:r>
    </w:p>
    <w:p>
      <w:pPr>
        <w:pStyle w:val="Normal"/>
        <w:tabs>
          <w:tab w:val="clear" w:pos="709"/>
          <w:tab w:val="left" w:pos="7526" w:leader="none"/>
          <w:tab w:val="left" w:pos="9230" w:leader="none"/>
          <w:tab w:val="left" w:pos="9656" w:leader="none"/>
        </w:tabs>
        <w:spacing w:lineRule="auto" w:line="240" w:before="0" w:after="0"/>
        <w:ind w:end="632"/>
        <w:jc w:val="center"/>
        <w:rPr>
          <w:rFonts w:ascii="Times New Roman" w:hAnsi="Times New Roman" w:cs="Times New Roman"/>
          <w:color w:val="000000"/>
          <w:sz w:val="24"/>
          <w:szCs w:val="24"/>
        </w:rPr>
      </w:pPr>
      <w:r>
        <w:rPr>
          <w:rFonts w:cs="Times New Roman" w:ascii="Times New Roman" w:hAnsi="Times New Roman"/>
          <w:color w:val="000000"/>
          <w:sz w:val="24"/>
          <w:szCs w:val="24"/>
        </w:rPr>
        <w:t>Характеристики будівель комунальних підприємств, установ (закладів) та організацій</w:t>
      </w:r>
    </w:p>
    <w:tbl>
      <w:tblPr>
        <w:tblW w:w="14565" w:type="dxa"/>
        <w:jc w:val="end"/>
        <w:tblInd w:w="0" w:type="dxa"/>
        <w:tblLayout w:type="fixed"/>
        <w:tblCellMar>
          <w:top w:w="0" w:type="dxa"/>
          <w:start w:w="54" w:type="dxa"/>
          <w:bottom w:w="0" w:type="dxa"/>
          <w:end w:w="54" w:type="dxa"/>
        </w:tblCellMar>
      </w:tblPr>
      <w:tblGrid>
        <w:gridCol w:w="915"/>
        <w:gridCol w:w="1245"/>
        <w:gridCol w:w="1080"/>
        <w:gridCol w:w="878"/>
        <w:gridCol w:w="754"/>
        <w:gridCol w:w="857"/>
        <w:gridCol w:w="45"/>
        <w:gridCol w:w="1141"/>
        <w:gridCol w:w="1365"/>
        <w:gridCol w:w="712"/>
        <w:gridCol w:w="1551"/>
        <w:gridCol w:w="731"/>
        <w:gridCol w:w="917"/>
        <w:gridCol w:w="1474"/>
        <w:gridCol w:w="900"/>
      </w:tblGrid>
      <w:tr>
        <w:trPr>
          <w:trHeight w:val="1" w:hRule="atLeast"/>
        </w:trPr>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Назва об'єкту</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Адреса будівлі</w:t>
            </w:r>
          </w:p>
        </w:tc>
        <w:tc>
          <w:tcPr>
            <w:tcW w:w="108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firstLine="156" w:start="-156" w:end="253"/>
              <w:jc w:val="center"/>
              <w:rPr>
                <w:rFonts w:ascii="Calibri" w:hAnsi="Calibri" w:cs="Calibri"/>
                <w:lang w:val="en-US"/>
              </w:rPr>
            </w:pPr>
            <w:r>
              <w:rPr>
                <w:rFonts w:cs="Times New Roman" w:ascii="Times New Roman" w:hAnsi="Times New Roman"/>
                <w:b/>
                <w:bCs/>
                <w:sz w:val="16"/>
                <w:szCs w:val="16"/>
              </w:rPr>
              <w:t>Функціональне призначення</w:t>
            </w:r>
          </w:p>
        </w:tc>
        <w:tc>
          <w:tcPr>
            <w:tcW w:w="878"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Рік прийняття в експлуатацію</w:t>
            </w:r>
          </w:p>
        </w:tc>
        <w:tc>
          <w:tcPr>
            <w:tcW w:w="754"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Кіль-кість поверхів</w:t>
            </w:r>
          </w:p>
        </w:tc>
        <w:tc>
          <w:tcPr>
            <w:tcW w:w="902" w:type="dxa"/>
            <w:gridSpan w:val="2"/>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Загальна площа будівлі, м2;</w:t>
            </w:r>
          </w:p>
        </w:tc>
        <w:tc>
          <w:tcPr>
            <w:tcW w:w="1141"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firstLine="411" w:start="-411"/>
              <w:jc w:val="center"/>
              <w:rPr>
                <w:rFonts w:ascii="Calibri" w:hAnsi="Calibri" w:cs="Calibri"/>
                <w:lang w:val="ru-RU"/>
              </w:rPr>
            </w:pPr>
            <w:r>
              <w:rPr>
                <w:rFonts w:cs="Times New Roman" w:ascii="Times New Roman" w:hAnsi="Times New Roman"/>
                <w:b/>
                <w:bCs/>
                <w:sz w:val="16"/>
                <w:szCs w:val="16"/>
              </w:rPr>
              <w:t>Опалю-вальна/охолоджувальна площа будівлі (м2)</w:t>
            </w:r>
          </w:p>
        </w:tc>
        <w:tc>
          <w:tcPr>
            <w:tcW w:w="136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start="-411"/>
              <w:jc w:val="end"/>
              <w:rPr>
                <w:rFonts w:ascii="Times New Roman" w:hAnsi="Times New Roman" w:cs="Times New Roman"/>
                <w:b/>
                <w:bCs/>
                <w:sz w:val="16"/>
                <w:szCs w:val="16"/>
              </w:rPr>
            </w:pPr>
            <w:r>
              <w:rPr>
                <w:rFonts w:cs="Times New Roman" w:ascii="Times New Roman" w:hAnsi="Times New Roman"/>
                <w:b/>
                <w:bCs/>
                <w:sz w:val="16"/>
                <w:szCs w:val="16"/>
                <w:lang w:val="ru-RU"/>
              </w:rPr>
              <w:t xml:space="preserve">        </w:t>
            </w:r>
            <w:r>
              <w:rPr>
                <w:rFonts w:cs="Times New Roman" w:ascii="Times New Roman" w:hAnsi="Times New Roman"/>
                <w:b/>
                <w:bCs/>
                <w:sz w:val="16"/>
                <w:szCs w:val="16"/>
              </w:rPr>
              <w:t>Інформація щодо джерела тепло-</w:t>
            </w:r>
          </w:p>
          <w:p>
            <w:pPr>
              <w:pStyle w:val="Normal"/>
              <w:spacing w:lineRule="auto" w:line="240" w:before="0" w:after="0"/>
              <w:ind w:start="-411"/>
              <w:jc w:val="end"/>
              <w:rPr>
                <w:rFonts w:ascii="Calibri" w:hAnsi="Calibri" w:cs="Calibri"/>
                <w:lang w:val="ru-RU"/>
              </w:rPr>
            </w:pPr>
            <w:r>
              <w:rPr>
                <w:rFonts w:cs="Times New Roman" w:ascii="Times New Roman" w:hAnsi="Times New Roman"/>
                <w:b/>
                <w:bCs/>
                <w:sz w:val="16"/>
                <w:szCs w:val="16"/>
              </w:rPr>
              <w:t>постачання</w:t>
            </w:r>
          </w:p>
        </w:tc>
        <w:tc>
          <w:tcPr>
            <w:tcW w:w="712"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гарячої води</w:t>
            </w:r>
          </w:p>
        </w:tc>
        <w:tc>
          <w:tcPr>
            <w:tcW w:w="1551"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ind w:end="513"/>
              <w:jc w:val="center"/>
              <w:rPr>
                <w:rFonts w:ascii="Calibri" w:hAnsi="Calibri" w:cs="Calibri"/>
                <w:lang w:val="ru-RU"/>
              </w:rPr>
            </w:pPr>
            <w:r>
              <w:rPr>
                <w:rFonts w:cs="Times New Roman" w:ascii="Times New Roman" w:hAnsi="Times New Roman"/>
                <w:b/>
                <w:bCs/>
                <w:sz w:val="16"/>
                <w:szCs w:val="16"/>
              </w:rPr>
              <w:t>Інформація щодо джерела водопос-тачання</w:t>
            </w:r>
          </w:p>
        </w:tc>
        <w:tc>
          <w:tcPr>
            <w:tcW w:w="731"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газа</w:t>
            </w:r>
          </w:p>
        </w:tc>
        <w:tc>
          <w:tcPr>
            <w:tcW w:w="917" w:type="dxa"/>
            <w:tcBorders>
              <w:top w:val="single" w:sz="4" w:space="0" w:color="000000"/>
              <w:start w:val="single" w:sz="4" w:space="0" w:color="000000"/>
              <w:bottom w:val="single" w:sz="4" w:space="0" w:color="000000"/>
              <w:end w:val="single" w:sz="2" w:space="0" w:color="000000"/>
            </w:tcBorders>
          </w:tcPr>
          <w:p>
            <w:pPr>
              <w:pStyle w:val="Normal"/>
              <w:tabs>
                <w:tab w:val="clear" w:pos="709"/>
                <w:tab w:val="left" w:pos="10366" w:leader="none"/>
                <w:tab w:val="left" w:pos="10466" w:leader="none"/>
              </w:tabs>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встанов-леної потуж-ності тепло-генеруючої установки (котлів), кВт</w:t>
            </w:r>
          </w:p>
        </w:tc>
        <w:tc>
          <w:tcPr>
            <w:tcW w:w="1474"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електричної енергії</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Розрахункове електричне навантаження кВт (відповідно до договорів)</w:t>
            </w:r>
          </w:p>
        </w:tc>
      </w:tr>
      <w:tr>
        <w:trPr>
          <w:trHeight w:val="1" w:hRule="atLeast"/>
        </w:trPr>
        <w:tc>
          <w:tcPr>
            <w:tcW w:w="14565" w:type="dxa"/>
            <w:gridSpan w:val="15"/>
            <w:tcBorders>
              <w:top w:val="single" w:sz="4" w:space="0" w:color="836967"/>
              <w:start w:val="single" w:sz="4" w:space="0" w:color="836967"/>
              <w:bottom w:val="single" w:sz="4" w:space="0" w:color="836967"/>
              <w:end w:val="single" w:sz="4" w:space="0" w:color="836967"/>
            </w:tcBorders>
            <w:tcMar>
              <w:top w:w="55" w:type="dxa"/>
              <w:start w:w="55" w:type="dxa"/>
              <w:bottom w:w="55" w:type="dxa"/>
              <w:end w:w="55" w:type="dxa"/>
            </w:tcMar>
          </w:tcPr>
          <w:p>
            <w:pPr>
              <w:pStyle w:val="BodyText"/>
              <w:widowControl/>
              <w:pBdr/>
              <w:spacing w:before="0" w:after="0"/>
              <w:ind w:firstLine="450" w:start="0" w:end="0"/>
              <w:jc w:val="both"/>
              <w:rPr>
                <w:rFonts w:ascii="Times New Roman" w:hAnsi="Times New Roman" w:eastAsia="Century Gothic" w:cs="Century Gothic"/>
                <w:b w:val="false"/>
                <w:bCs/>
                <w:i w:val="false"/>
                <w:caps w:val="false"/>
                <w:smallCaps w:val="false"/>
                <w:color w:val="333333"/>
                <w:spacing w:val="0"/>
                <w:kern w:val="0"/>
                <w:sz w:val="24"/>
                <w:szCs w:val="24"/>
                <w:shd w:fill="auto" w:val="clear"/>
                <w:lang w:eastAsia="uk-UA"/>
              </w:rPr>
            </w:pPr>
            <w:r>
              <w:rPr>
                <w:rFonts w:eastAsia="Century Gothic" w:cs="Century Gothic" w:ascii="Times New Roman" w:hAnsi="Times New Roman"/>
                <w:b w:val="false"/>
                <w:bCs/>
                <w:i w:val="false"/>
                <w:caps w:val="false"/>
                <w:smallCaps w:val="false"/>
                <w:color w:val="000000"/>
                <w:spacing w:val="0"/>
                <w:kern w:val="0"/>
                <w:sz w:val="24"/>
                <w:szCs w:val="24"/>
                <w:shd w:fill="auto" w:val="clear"/>
                <w:lang w:eastAsia="uk-UA"/>
              </w:rPr>
              <w:t xml:space="preserve">Балансоутримувач: </w:t>
            </w:r>
            <w:r>
              <w:rPr>
                <w:rFonts w:eastAsia="Century Gothic" w:cs="Times New Roman" w:ascii="Times New Roman" w:hAnsi="Times New Roman"/>
                <w:b w:val="false"/>
                <w:bCs/>
                <w:i w:val="false"/>
                <w:iCs w:val="false"/>
                <w:caps w:val="false"/>
                <w:smallCaps w:val="false"/>
                <w:color w:val="000000"/>
                <w:spacing w:val="0"/>
                <w:kern w:val="0"/>
                <w:sz w:val="24"/>
                <w:szCs w:val="24"/>
                <w:shd w:fill="auto" w:val="clear"/>
                <w:lang w:eastAsia="uk-UA"/>
              </w:rPr>
              <w:t>КНП “ЦПМСД ПМР ДО”</w:t>
            </w:r>
          </w:p>
        </w:tc>
      </w:tr>
      <w:tr>
        <w:trPr>
          <w:trHeight w:val="548" w:hRule="atLeast"/>
        </w:trPr>
        <w:tc>
          <w:tcPr>
            <w:tcW w:w="91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 xml:space="preserve"> 1</w:t>
            </w:r>
          </w:p>
        </w:tc>
        <w:tc>
          <w:tcPr>
            <w:tcW w:w="124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Киівська,9</w:t>
            </w:r>
          </w:p>
        </w:tc>
        <w:tc>
          <w:tcPr>
            <w:tcW w:w="1080"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1954</w:t>
            </w:r>
          </w:p>
        </w:tc>
        <w:tc>
          <w:tcPr>
            <w:tcW w:w="75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w:t>
            </w:r>
          </w:p>
        </w:tc>
        <w:tc>
          <w:tcPr>
            <w:tcW w:w="85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289,9</w:t>
            </w:r>
          </w:p>
        </w:tc>
        <w:tc>
          <w:tcPr>
            <w:tcW w:w="1186" w:type="dxa"/>
            <w:gridSpan w:val="2"/>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218</w:t>
            </w:r>
          </w:p>
        </w:tc>
        <w:tc>
          <w:tcPr>
            <w:tcW w:w="136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rPr>
              <w:t>електрокотел</w:t>
            </w:r>
          </w:p>
        </w:tc>
        <w:tc>
          <w:tcPr>
            <w:tcW w:w="712"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Calibri" w:ascii="Calibri" w:hAnsi="Calibri"/>
                <w:lang w:val="en-US"/>
              </w:rPr>
            </w:r>
          </w:p>
        </w:tc>
      </w:tr>
      <w:tr>
        <w:trPr>
          <w:trHeight w:val="638" w:hRule="atLeast"/>
        </w:trPr>
        <w:tc>
          <w:tcPr>
            <w:tcW w:w="91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2</w:t>
            </w:r>
          </w:p>
        </w:tc>
        <w:tc>
          <w:tcPr>
            <w:tcW w:w="124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Бориса Джонсона, 26</w:t>
            </w:r>
          </w:p>
        </w:tc>
        <w:tc>
          <w:tcPr>
            <w:tcW w:w="1080"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1988</w:t>
            </w:r>
          </w:p>
        </w:tc>
        <w:tc>
          <w:tcPr>
            <w:tcW w:w="75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t>1/5</w:t>
            </w:r>
          </w:p>
          <w:p>
            <w:pPr>
              <w:pStyle w:val="Normal"/>
              <w:spacing w:lineRule="auto" w:line="240" w:before="0" w:after="0"/>
              <w:jc w:val="center"/>
              <w:rPr>
                <w:rFonts w:ascii="Calibri" w:hAnsi="Calibri" w:cs="Calibri"/>
                <w:lang w:val="en-US"/>
              </w:rPr>
            </w:pPr>
            <w:r>
              <w:rPr>
                <w:rFonts w:cs="Calibri" w:ascii="Calibri" w:hAnsi="Calibri"/>
                <w:lang w:val="en-US"/>
              </w:rPr>
            </w:r>
          </w:p>
        </w:tc>
        <w:tc>
          <w:tcPr>
            <w:tcW w:w="85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88,3</w:t>
            </w:r>
          </w:p>
        </w:tc>
        <w:tc>
          <w:tcPr>
            <w:tcW w:w="1186" w:type="dxa"/>
            <w:gridSpan w:val="2"/>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88,3</w:t>
            </w:r>
          </w:p>
        </w:tc>
        <w:tc>
          <w:tcPr>
            <w:tcW w:w="136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rPr>
              <w:t>електропанелі</w:t>
            </w:r>
          </w:p>
        </w:tc>
        <w:tc>
          <w:tcPr>
            <w:tcW w:w="712"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61"/>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Calibri" w:ascii="Calibri" w:hAnsi="Calibri"/>
                <w:lang w:val="en-US"/>
              </w:rPr>
            </w:r>
          </w:p>
        </w:tc>
      </w:tr>
      <w:tr>
        <w:trPr>
          <w:trHeight w:val="844" w:hRule="atLeast"/>
        </w:trPr>
        <w:tc>
          <w:tcPr>
            <w:tcW w:w="91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4</w:t>
            </w:r>
          </w:p>
        </w:tc>
        <w:tc>
          <w:tcPr>
            <w:tcW w:w="124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Медична, 19</w:t>
            </w:r>
          </w:p>
        </w:tc>
        <w:tc>
          <w:tcPr>
            <w:tcW w:w="1080"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1970</w:t>
            </w:r>
          </w:p>
        </w:tc>
        <w:tc>
          <w:tcPr>
            <w:tcW w:w="75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3</w:t>
            </w:r>
          </w:p>
        </w:tc>
        <w:tc>
          <w:tcPr>
            <w:tcW w:w="85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1810,3</w:t>
            </w:r>
          </w:p>
        </w:tc>
        <w:tc>
          <w:tcPr>
            <w:tcW w:w="1186" w:type="dxa"/>
            <w:gridSpan w:val="2"/>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1795</w:t>
            </w:r>
          </w:p>
        </w:tc>
        <w:tc>
          <w:tcPr>
            <w:tcW w:w="1365"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jc w:val="end"/>
              <w:rPr>
                <w:rFonts w:ascii="Calibri" w:hAnsi="Calibri" w:cs="Calibri"/>
                <w:lang w:val="en-US"/>
              </w:rPr>
            </w:pPr>
            <w:r>
              <w:rPr>
                <w:rFonts w:cs="Times New Roman" w:ascii="Times New Roman" w:hAnsi="Times New Roman"/>
                <w:sz w:val="20"/>
                <w:szCs w:val="20"/>
              </w:rPr>
              <w:t>централізоване</w:t>
            </w:r>
          </w:p>
        </w:tc>
        <w:tc>
          <w:tcPr>
            <w:tcW w:w="712"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ind w:start="-411"/>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tcMar>
              <w:top w:w="55" w:type="dxa"/>
              <w:start w:w="55" w:type="dxa"/>
              <w:bottom w:w="55" w:type="dxa"/>
              <w:end w:w="55" w:type="dxa"/>
            </w:tcMar>
          </w:tcPr>
          <w:p>
            <w:pPr>
              <w:pStyle w:val="Normal"/>
              <w:spacing w:lineRule="auto" w:line="240" w:before="0" w:after="0"/>
              <w:rPr>
                <w:rFonts w:ascii="Calibri" w:hAnsi="Calibri" w:cs="Calibri"/>
                <w:lang w:val="en-US"/>
              </w:rPr>
            </w:pPr>
            <w:r>
              <w:rPr>
                <w:rFonts w:cs="Calibri" w:ascii="Calibri" w:hAnsi="Calibri"/>
                <w:lang w:val="en-US"/>
              </w:rPr>
            </w:r>
          </w:p>
          <w:p>
            <w:pPr>
              <w:pStyle w:val="Normal"/>
              <w:spacing w:lineRule="auto" w:line="240" w:before="0" w:after="0"/>
              <w:rPr>
                <w:rFonts w:ascii="Calibri" w:hAnsi="Calibri" w:cs="Calibri"/>
                <w:lang w:val="en-US"/>
              </w:rPr>
            </w:pPr>
            <w:r>
              <w:rPr>
                <w:rFonts w:cs="Calibri" w:ascii="Calibri" w:hAnsi="Calibri"/>
                <w:lang w:val="en-US"/>
              </w:rPr>
            </w:r>
          </w:p>
          <w:p>
            <w:pPr>
              <w:pStyle w:val="Normal"/>
              <w:spacing w:lineRule="auto" w:line="240" w:before="0" w:after="0"/>
              <w:rPr>
                <w:rFonts w:ascii="Calibri" w:hAnsi="Calibri" w:cs="Calibri"/>
                <w:lang w:val="en-US"/>
              </w:rPr>
            </w:pPr>
            <w:r>
              <w:rPr>
                <w:rFonts w:cs="Calibri" w:ascii="Calibri" w:hAnsi="Calibri"/>
                <w:lang w:val="en-US"/>
              </w:rPr>
            </w:r>
          </w:p>
        </w:tc>
      </w:tr>
      <w:tr>
        <w:trPr>
          <w:trHeight w:val="1" w:hRule="atLeast"/>
        </w:trPr>
        <w:tc>
          <w:tcPr>
            <w:tcW w:w="91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5</w:t>
            </w:r>
          </w:p>
        </w:tc>
        <w:tc>
          <w:tcPr>
            <w:tcW w:w="124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Медична, 19</w:t>
            </w:r>
          </w:p>
        </w:tc>
        <w:tc>
          <w:tcPr>
            <w:tcW w:w="1080"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1966</w:t>
            </w:r>
          </w:p>
        </w:tc>
        <w:tc>
          <w:tcPr>
            <w:tcW w:w="75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Times New Roman" w:hAnsi="Times New Roman" w:cs="Times New Roman"/>
                <w:sz w:val="20"/>
                <w:szCs w:val="20"/>
                <w:lang w:val="en-US"/>
              </w:rPr>
            </w:pPr>
            <w:r>
              <w:rPr>
                <w:rFonts w:cs="Times New Roman" w:ascii="Times New Roman" w:hAnsi="Times New Roman"/>
                <w:sz w:val="20"/>
                <w:szCs w:val="20"/>
                <w:lang w:val="en-US"/>
              </w:rPr>
              <w:t>2</w:t>
            </w:r>
          </w:p>
          <w:p>
            <w:pPr>
              <w:pStyle w:val="Normal"/>
              <w:spacing w:lineRule="auto" w:line="240" w:before="0" w:after="0"/>
              <w:jc w:val="center"/>
              <w:rPr>
                <w:rFonts w:ascii="Calibri" w:hAnsi="Calibri" w:cs="Calibri"/>
                <w:lang w:val="en-US"/>
              </w:rPr>
            </w:pPr>
            <w:r>
              <w:rPr>
                <w:rFonts w:cs="Calibri" w:ascii="Calibri" w:hAnsi="Calibri"/>
                <w:lang w:val="en-US"/>
              </w:rPr>
            </w:r>
          </w:p>
        </w:tc>
        <w:tc>
          <w:tcPr>
            <w:tcW w:w="85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835</w:t>
            </w:r>
          </w:p>
        </w:tc>
        <w:tc>
          <w:tcPr>
            <w:tcW w:w="1186" w:type="dxa"/>
            <w:gridSpan w:val="2"/>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835</w:t>
            </w:r>
          </w:p>
        </w:tc>
        <w:tc>
          <w:tcPr>
            <w:tcW w:w="136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end"/>
              <w:rPr>
                <w:rFonts w:ascii="Calibri" w:hAnsi="Calibri" w:cs="Calibri"/>
                <w:lang w:val="en-US"/>
              </w:rPr>
            </w:pPr>
            <w:r>
              <w:rPr>
                <w:rFonts w:cs="Times New Roman" w:ascii="Times New Roman" w:hAnsi="Times New Roman"/>
                <w:sz w:val="20"/>
                <w:szCs w:val="20"/>
              </w:rPr>
              <w:t>централізоване</w:t>
            </w:r>
          </w:p>
        </w:tc>
        <w:tc>
          <w:tcPr>
            <w:tcW w:w="712"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міські  електромережі</w:t>
            </w:r>
          </w:p>
        </w:tc>
        <w:tc>
          <w:tcPr>
            <w:tcW w:w="900" w:type="dxa"/>
            <w:tcBorders>
              <w:start w:val="single" w:sz="4" w:space="0" w:color="836967"/>
              <w:bottom w:val="single" w:sz="4" w:space="0" w:color="836967"/>
              <w:end w:val="single" w:sz="4" w:space="0" w:color="836967"/>
            </w:tcBorders>
            <w:shd w:fill="FFFFFF" w:val="clear"/>
            <w:tcMar>
              <w:top w:w="55" w:type="dxa"/>
              <w:start w:w="55" w:type="dxa"/>
              <w:bottom w:w="55" w:type="dxa"/>
              <w:end w:w="55" w:type="dxa"/>
            </w:tcMar>
          </w:tcPr>
          <w:p>
            <w:pPr>
              <w:pStyle w:val="Normal"/>
              <w:spacing w:lineRule="auto" w:line="240" w:before="0" w:after="0"/>
              <w:jc w:val="end"/>
              <w:rPr>
                <w:rFonts w:ascii="Calibri" w:hAnsi="Calibri" w:cs="Calibri"/>
                <w:lang w:val="en-US"/>
              </w:rPr>
            </w:pPr>
            <w:r>
              <w:rPr>
                <w:rFonts w:cs="Calibri" w:ascii="Calibri" w:hAnsi="Calibri"/>
                <w:lang w:val="en-US"/>
              </w:rPr>
            </w:r>
          </w:p>
        </w:tc>
      </w:tr>
      <w:tr>
        <w:trPr>
          <w:trHeight w:val="1" w:hRule="atLeast"/>
        </w:trPr>
        <w:tc>
          <w:tcPr>
            <w:tcW w:w="91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 xml:space="preserve">АЗПСМ  </w:t>
            </w:r>
            <w:r>
              <w:rPr>
                <w:rFonts w:cs="Segoe UI Symbol" w:ascii="Segoe UI Symbol" w:hAnsi="Segoe UI Symbol"/>
                <w:sz w:val="20"/>
                <w:szCs w:val="20"/>
              </w:rPr>
              <w:t>№</w:t>
            </w:r>
            <w:r>
              <w:rPr>
                <w:rFonts w:cs="Times New Roman" w:ascii="Times New Roman" w:hAnsi="Times New Roman"/>
                <w:sz w:val="20"/>
                <w:szCs w:val="20"/>
              </w:rPr>
              <w:t>6</w:t>
            </w:r>
          </w:p>
        </w:tc>
        <w:tc>
          <w:tcPr>
            <w:tcW w:w="124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Вул. Лікарняна, 1</w:t>
            </w:r>
          </w:p>
        </w:tc>
        <w:tc>
          <w:tcPr>
            <w:tcW w:w="1080"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Надання  медичних послуг</w:t>
            </w:r>
          </w:p>
        </w:tc>
        <w:tc>
          <w:tcPr>
            <w:tcW w:w="878"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1913</w:t>
            </w:r>
          </w:p>
        </w:tc>
        <w:tc>
          <w:tcPr>
            <w:tcW w:w="75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w:t>
            </w:r>
          </w:p>
        </w:tc>
        <w:tc>
          <w:tcPr>
            <w:tcW w:w="85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1755,4</w:t>
            </w:r>
          </w:p>
        </w:tc>
        <w:tc>
          <w:tcPr>
            <w:tcW w:w="1186" w:type="dxa"/>
            <w:gridSpan w:val="2"/>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273,12</w:t>
            </w:r>
          </w:p>
        </w:tc>
        <w:tc>
          <w:tcPr>
            <w:tcW w:w="1365"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ind w:start="-411"/>
              <w:jc w:val="center"/>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rPr>
              <w:t>електрокотел</w:t>
            </w:r>
          </w:p>
        </w:tc>
        <w:tc>
          <w:tcPr>
            <w:tcW w:w="712"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55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централізоване</w:t>
            </w:r>
          </w:p>
        </w:tc>
        <w:tc>
          <w:tcPr>
            <w:tcW w:w="731"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jc w:val="center"/>
              <w:rPr>
                <w:rFonts w:ascii="Calibri" w:hAnsi="Calibri" w:cs="Calibri"/>
                <w:lang w:val="en-US"/>
              </w:rPr>
            </w:pPr>
            <w:r>
              <w:rPr>
                <w:rFonts w:cs="Times New Roman" w:ascii="Times New Roman" w:hAnsi="Times New Roman"/>
                <w:sz w:val="20"/>
                <w:szCs w:val="20"/>
                <w:lang w:val="en-US"/>
              </w:rPr>
              <w:t>-</w:t>
            </w:r>
          </w:p>
        </w:tc>
        <w:tc>
          <w:tcPr>
            <w:tcW w:w="917"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lang w:val="en-US"/>
              </w:rPr>
              <w:t xml:space="preserve">       </w:t>
            </w:r>
            <w:r>
              <w:rPr>
                <w:rFonts w:cs="Times New Roman" w:ascii="Times New Roman" w:hAnsi="Times New Roman"/>
                <w:sz w:val="20"/>
                <w:szCs w:val="20"/>
                <w:lang w:val="en-US"/>
              </w:rPr>
              <w:t>-</w:t>
            </w:r>
          </w:p>
        </w:tc>
        <w:tc>
          <w:tcPr>
            <w:tcW w:w="1474" w:type="dxa"/>
            <w:tcBorders>
              <w:start w:val="single" w:sz="4" w:space="0" w:color="836967"/>
              <w:bottom w:val="single" w:sz="4" w:space="0" w:color="836967"/>
            </w:tcBorders>
            <w:shd w:fill="FFFFFF" w:val="clear"/>
            <w:tcMar>
              <w:top w:w="55" w:type="dxa"/>
              <w:start w:w="55" w:type="dxa"/>
              <w:bottom w:w="55" w:type="dxa"/>
              <w:end w:w="55" w:type="dxa"/>
            </w:tcMar>
          </w:tcPr>
          <w:p>
            <w:pPr>
              <w:pStyle w:val="Normal"/>
              <w:spacing w:lineRule="auto" w:line="240" w:before="0" w:after="0"/>
              <w:rPr>
                <w:rFonts w:ascii="Calibri" w:hAnsi="Calibri" w:cs="Calibri"/>
                <w:lang w:val="en-US"/>
              </w:rPr>
            </w:pPr>
            <w:r>
              <w:rPr>
                <w:rFonts w:cs="Times New Roman" w:ascii="Times New Roman" w:hAnsi="Times New Roman"/>
                <w:sz w:val="20"/>
                <w:szCs w:val="20"/>
              </w:rPr>
              <w:t>РЕМ</w:t>
            </w:r>
          </w:p>
        </w:tc>
        <w:tc>
          <w:tcPr>
            <w:tcW w:w="900" w:type="dxa"/>
            <w:tcBorders>
              <w:start w:val="single" w:sz="4" w:space="0" w:color="836967"/>
              <w:bottom w:val="single" w:sz="4" w:space="0" w:color="836967"/>
              <w:end w:val="single" w:sz="4" w:space="0" w:color="836967"/>
            </w:tcBorders>
            <w:shd w:fill="FFFFFF" w:val="clear"/>
            <w:tcMar>
              <w:top w:w="55" w:type="dxa"/>
              <w:start w:w="55" w:type="dxa"/>
              <w:bottom w:w="55" w:type="dxa"/>
              <w:end w:w="55" w:type="dxa"/>
            </w:tcMar>
          </w:tcPr>
          <w:p>
            <w:pPr>
              <w:pStyle w:val="Normal"/>
              <w:spacing w:lineRule="auto" w:line="240" w:before="0" w:after="0"/>
              <w:jc w:val="end"/>
              <w:rPr>
                <w:rFonts w:ascii="Calibri" w:hAnsi="Calibri" w:cs="Calibri"/>
                <w:lang w:val="en-US"/>
              </w:rPr>
            </w:pPr>
            <w:r>
              <w:rPr>
                <w:rFonts w:cs="Calibri" w:ascii="Calibri" w:hAnsi="Calibri"/>
                <w:lang w:val="en-US"/>
              </w:rPr>
            </w:r>
          </w:p>
        </w:tc>
      </w:tr>
    </w:tbl>
    <w:p>
      <w:pPr>
        <w:pStyle w:val="Normal"/>
        <w:spacing w:lineRule="auto" w:line="240" w:before="160" w:after="0"/>
        <w:rPr>
          <w:rFonts w:ascii="Calibri" w:hAnsi="Calibri" w:cs="Calibri"/>
          <w:lang w:val="en-US"/>
        </w:rPr>
      </w:pPr>
      <w:r>
        <w:rPr>
          <w:rFonts w:cs="Calibri" w:ascii="Calibri" w:hAnsi="Calibri"/>
          <w:lang w:val="en-US"/>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color w:val="000000"/>
        </w:rPr>
        <w:sectPr>
          <w:headerReference w:type="default" r:id="rId41"/>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Normal"/>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8"/>
          <w:szCs w:val="28"/>
          <w:lang w:eastAsia="uk-UA"/>
        </w:rPr>
        <w:t>Вихідні дані КП “ЦМЛ ПМР ДО”, що використовувались для розроблення муніципального енергетичного плану</w:t>
      </w:r>
    </w:p>
    <w:p>
      <w:pPr>
        <w:pStyle w:val="Normal"/>
        <w:spacing w:lineRule="auto" w:line="240" w:before="0" w:after="0"/>
        <w:jc w:val="end"/>
        <w:rPr>
          <w:rFonts w:ascii="Times New Roman" w:hAnsi="Times New Roman" w:cs="Times New Roman"/>
          <w:lang w:val="ru-RU"/>
        </w:rPr>
      </w:pPr>
      <w:r>
        <w:rPr>
          <w:rFonts w:cs="Times New Roman" w:ascii="Times New Roman" w:hAnsi="Times New Roman"/>
          <w:lang w:val="uk-UA"/>
        </w:rPr>
        <w:t>Таблиця 1</w:t>
      </w:r>
    </w:p>
    <w:p>
      <w:pPr>
        <w:pStyle w:val="Normal"/>
        <w:spacing w:lineRule="auto" w:line="240" w:before="0" w:after="0"/>
        <w:jc w:val="center"/>
        <w:rPr>
          <w:rFonts w:ascii="Times New Roman" w:hAnsi="Times New Roman" w:cs="Times New Roman"/>
          <w:lang w:val="ru-RU"/>
        </w:rPr>
      </w:pPr>
      <w:r>
        <w:rPr>
          <w:rFonts w:cs="Times New Roman" w:ascii="Times New Roman" w:hAnsi="Times New Roman"/>
          <w:lang w:val="uk-UA"/>
        </w:rPr>
        <w:t xml:space="preserve"> </w:t>
      </w:r>
      <w:r>
        <w:rPr>
          <w:rFonts w:cs="Times New Roman" w:ascii="Times New Roman" w:hAnsi="Times New Roman"/>
          <w:lang w:val="uk-UA"/>
        </w:rPr>
        <w:t>Кількість та площа будівель</w:t>
      </w:r>
    </w:p>
    <w:tbl>
      <w:tblPr>
        <w:tblW w:w="9638" w:type="dxa"/>
        <w:jc w:val="start"/>
        <w:tblInd w:w="55" w:type="dxa"/>
        <w:tblLayout w:type="fixed"/>
        <w:tblCellMar>
          <w:top w:w="0" w:type="dxa"/>
          <w:start w:w="55" w:type="dxa"/>
          <w:bottom w:w="0" w:type="dxa"/>
          <w:end w:w="55" w:type="dxa"/>
        </w:tblCellMar>
      </w:tblPr>
      <w:tblGrid>
        <w:gridCol w:w="1700"/>
        <w:gridCol w:w="1024"/>
        <w:gridCol w:w="1013"/>
        <w:gridCol w:w="1200"/>
        <w:gridCol w:w="1350"/>
        <w:gridCol w:w="1027"/>
        <w:gridCol w:w="1300"/>
        <w:gridCol w:w="1024"/>
      </w:tblGrid>
      <w:tr>
        <w:trPr>
          <w:trHeight w:val="1" w:hRule="atLeast"/>
        </w:trPr>
        <w:tc>
          <w:tcPr>
            <w:tcW w:w="17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lang w:val="ru-RU"/>
              </w:rPr>
            </w:pPr>
            <w:r>
              <w:rPr>
                <w:rFonts w:cs="Calibri" w:ascii="Times New Roman" w:hAnsi="Times New Roman"/>
                <w:lang w:val="ru-RU"/>
              </w:rPr>
            </w:r>
          </w:p>
        </w:tc>
        <w:tc>
          <w:tcPr>
            <w:tcW w:w="1024"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окремих</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власних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Кількість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w:t>
            </w:r>
          </w:p>
        </w:tc>
        <w:tc>
          <w:tcPr>
            <w:tcW w:w="1027"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всього м</w:t>
            </w:r>
            <w:r>
              <w:rPr>
                <w:rFonts w:cs="Times New Roman" w:ascii="Times New Roman" w:hAnsi="Times New Roman"/>
                <w:b/>
                <w:bCs/>
                <w:sz w:val="20"/>
                <w:szCs w:val="20"/>
                <w:lang w:val="ru-RU"/>
              </w:rPr>
              <w:t>²</w:t>
            </w:r>
          </w:p>
        </w:tc>
        <w:tc>
          <w:tcPr>
            <w:tcW w:w="13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ru-RU"/>
              </w:rPr>
            </w:pPr>
            <w:r>
              <w:rPr>
                <w:rFonts w:cs="Times New Roman" w:ascii="Times New Roman" w:hAnsi="Times New Roman"/>
                <w:b/>
                <w:bCs/>
                <w:sz w:val="20"/>
                <w:szCs w:val="20"/>
              </w:rPr>
              <w:t>що опалюються м</w:t>
            </w:r>
            <w:r>
              <w:rPr>
                <w:rFonts w:cs="Times New Roman" w:ascii="Times New Roman" w:hAnsi="Times New Roman"/>
                <w:b/>
                <w:bCs/>
                <w:sz w:val="20"/>
                <w:szCs w:val="20"/>
                <w:lang w:val="ru-RU"/>
              </w:rPr>
              <w:t>²</w:t>
            </w:r>
          </w:p>
        </w:tc>
        <w:tc>
          <w:tcPr>
            <w:tcW w:w="1024" w:type="dxa"/>
            <w:tcBorders>
              <w:top w:val="single" w:sz="4"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Площа</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будівель</w:t>
            </w:r>
          </w:p>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займаних,</w:t>
            </w:r>
          </w:p>
          <w:p>
            <w:pPr>
              <w:pStyle w:val="Normal"/>
              <w:spacing w:lineRule="auto" w:line="240" w:before="0" w:after="0"/>
              <w:jc w:val="center"/>
              <w:rPr>
                <w:rFonts w:ascii="Calibri" w:hAnsi="Calibri" w:cs="Calibri"/>
                <w:lang w:val="en-US"/>
              </w:rPr>
            </w:pPr>
            <w:r>
              <w:rPr>
                <w:rFonts w:cs="Times New Roman" w:ascii="Times New Roman" w:hAnsi="Times New Roman"/>
                <w:b/>
                <w:bCs/>
                <w:sz w:val="20"/>
                <w:szCs w:val="20"/>
              </w:rPr>
              <w:t>всього, %</w:t>
            </w:r>
          </w:p>
        </w:tc>
      </w:tr>
      <w:tr>
        <w:trPr>
          <w:trHeight w:val="1" w:hRule="atLeast"/>
        </w:trPr>
        <w:tc>
          <w:tcPr>
            <w:tcW w:w="17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Calibri" w:hAnsi="Calibri" w:cs="Calibri"/>
              </w:rPr>
            </w:pPr>
            <w:r>
              <w:rPr>
                <w:rFonts w:cs="Times New Roman" w:ascii="Times New Roman" w:hAnsi="Times New Roman"/>
                <w:b/>
                <w:bCs/>
                <w:sz w:val="20"/>
                <w:szCs w:val="20"/>
                <w:lang w:val="uk-UA"/>
              </w:rPr>
              <w:t>ЗАКЛАДИ ОХОРОНИ ЗДОРОВ'Я(вторинн</w:t>
            </w:r>
            <w:r>
              <w:rPr>
                <w:rFonts w:cs="Times New Roman" w:ascii="Times New Roman" w:hAnsi="Times New Roman"/>
                <w:b/>
                <w:bCs/>
                <w:sz w:val="20"/>
                <w:szCs w:val="20"/>
                <w:lang w:val="uk-UA"/>
              </w:rPr>
              <w:t>і)</w:t>
            </w:r>
          </w:p>
        </w:tc>
        <w:tc>
          <w:tcPr>
            <w:tcW w:w="1024" w:type="dxa"/>
            <w:tcBorders>
              <w:top w:val="single" w:sz="2" w:space="0" w:color="000000"/>
              <w:start w:val="single" w:sz="4" w:space="0" w:color="000000"/>
              <w:bottom w:val="single" w:sz="4" w:space="0" w:color="000000"/>
              <w:end w:val="single" w:sz="2" w:space="0" w:color="000000"/>
            </w:tcBorders>
            <w:shd w:fill="FFFFFF" w:val="clear"/>
          </w:tcPr>
          <w:p>
            <w:pPr>
              <w:pStyle w:val="Normal"/>
              <w:spacing w:before="0" w:after="200"/>
              <w:jc w:val="center"/>
              <w:rPr>
                <w:rFonts w:ascii="Times New Roman" w:hAnsi="Times New Roman" w:cs="Times New Roman"/>
              </w:rPr>
            </w:pPr>
            <w:r>
              <w:rPr>
                <w:rFonts w:cs="Times New Roman" w:ascii="Times New Roman" w:hAnsi="Times New Roman"/>
              </w:rPr>
              <w:t>1</w:t>
            </w:r>
          </w:p>
        </w:tc>
        <w:tc>
          <w:tcPr>
            <w:tcW w:w="1013" w:type="dxa"/>
            <w:tcBorders>
              <w:top w:val="single" w:sz="2" w:space="0" w:color="000000"/>
              <w:start w:val="single" w:sz="4" w:space="0" w:color="000000"/>
              <w:bottom w:val="single" w:sz="4" w:space="0" w:color="000000"/>
              <w:end w:val="single" w:sz="2" w:space="0" w:color="000000"/>
            </w:tcBorders>
            <w:shd w:fill="FFFFFF" w:val="clear"/>
          </w:tcPr>
          <w:p>
            <w:pPr>
              <w:pStyle w:val="Normal"/>
              <w:jc w:val="center"/>
              <w:rPr>
                <w:rFonts w:ascii="Times New Roman" w:hAnsi="Times New Roman" w:cs="Times New Roman"/>
              </w:rPr>
            </w:pPr>
            <w:r>
              <w:rPr>
                <w:rFonts w:cs="Times New Roman" w:ascii="Times New Roman" w:hAnsi="Times New Roman"/>
              </w:rPr>
              <w:t>15</w:t>
            </w:r>
          </w:p>
          <w:p>
            <w:pPr>
              <w:pStyle w:val="Normal"/>
              <w:spacing w:before="0" w:after="200"/>
              <w:rPr>
                <w:rFonts w:ascii="Times New Roman" w:hAnsi="Times New Roman" w:cs="Times New Roman"/>
              </w:rPr>
            </w:pPr>
            <w:r>
              <w:rPr>
                <w:rFonts w:cs="Times New Roman" w:ascii="Times New Roman" w:hAnsi="Times New Roman"/>
              </w:rPr>
            </w:r>
          </w:p>
        </w:tc>
        <w:tc>
          <w:tcPr>
            <w:tcW w:w="12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14</w:t>
            </w:r>
          </w:p>
        </w:tc>
        <w:tc>
          <w:tcPr>
            <w:tcW w:w="135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11</w:t>
            </w:r>
          </w:p>
        </w:tc>
        <w:tc>
          <w:tcPr>
            <w:tcW w:w="1027" w:type="dxa"/>
            <w:tcBorders>
              <w:top w:val="single" w:sz="2" w:space="0" w:color="000000"/>
              <w:start w:val="single" w:sz="4" w:space="0" w:color="000000"/>
              <w:bottom w:val="single" w:sz="4" w:space="0" w:color="000000"/>
              <w:end w:val="single" w:sz="2" w:space="0" w:color="000000"/>
            </w:tcBorders>
            <w:shd w:fill="FFFFFF" w:val="clear"/>
          </w:tcPr>
          <w:p>
            <w:pPr>
              <w:pStyle w:val="Normal"/>
              <w:spacing w:before="0" w:after="200"/>
              <w:jc w:val="center"/>
              <w:rPr>
                <w:rFonts w:ascii="Times New Roman" w:hAnsi="Times New Roman" w:cs="Times New Roman"/>
              </w:rPr>
            </w:pPr>
            <w:r>
              <w:rPr>
                <w:rFonts w:cs="Times New Roman" w:ascii="Times New Roman" w:hAnsi="Times New Roman"/>
              </w:rPr>
              <w:t>20710,8</w:t>
            </w:r>
          </w:p>
        </w:tc>
        <w:tc>
          <w:tcPr>
            <w:tcW w:w="1300" w:type="dxa"/>
            <w:tcBorders>
              <w:top w:val="single" w:sz="2" w:space="0" w:color="000000"/>
              <w:start w:val="single" w:sz="4" w:space="0" w:color="000000"/>
              <w:bottom w:val="single" w:sz="4" w:space="0" w:color="000000"/>
              <w:end w:val="single" w:sz="2" w:space="0" w:color="000000"/>
            </w:tcBorders>
            <w:shd w:fill="FFFFFF" w:val="clear"/>
          </w:tcPr>
          <w:p>
            <w:pPr>
              <w:pStyle w:val="Normal"/>
              <w:tabs>
                <w:tab w:val="clear" w:pos="709"/>
                <w:tab w:val="center" w:pos="595" w:leader="none"/>
              </w:tabs>
              <w:spacing w:before="0" w:after="200"/>
              <w:jc w:val="center"/>
              <w:rPr>
                <w:rFonts w:ascii="Times New Roman" w:hAnsi="Times New Roman" w:cs="Times New Roman"/>
              </w:rPr>
            </w:pPr>
            <w:r>
              <w:rPr>
                <w:rFonts w:cs="Times New Roman" w:ascii="Times New Roman" w:hAnsi="Times New Roman"/>
              </w:rPr>
              <w:t>19775,2</w:t>
            </w:r>
          </w:p>
        </w:tc>
        <w:tc>
          <w:tcPr>
            <w:tcW w:w="1024" w:type="dxa"/>
            <w:tcBorders>
              <w:top w:val="single" w:sz="2" w:space="0" w:color="000000"/>
              <w:start w:val="single" w:sz="4" w:space="0" w:color="000000"/>
              <w:bottom w:val="single" w:sz="4" w:space="0" w:color="000000"/>
              <w:end w:val="single" w:sz="4" w:space="0" w:color="000000"/>
            </w:tcBorders>
            <w:shd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95,5</w:t>
            </w:r>
          </w:p>
        </w:tc>
      </w:tr>
    </w:tbl>
    <w:p>
      <w:pPr>
        <w:pStyle w:val="Normal"/>
        <w:spacing w:lineRule="auto" w:line="240" w:before="0" w:after="0"/>
        <w:jc w:val="center"/>
        <w:rPr>
          <w:rFonts w:ascii="Calibri" w:hAnsi="Calibri" w:cs="Calibri"/>
        </w:rPr>
      </w:pPr>
      <w:r>
        <w:rPr>
          <w:rFonts w:cs="Calibri" w:ascii="Times New Roman" w:hAnsi="Times New Roman"/>
        </w:rPr>
      </w:r>
    </w:p>
    <w:p>
      <w:pPr>
        <w:pStyle w:val="Normal"/>
        <w:spacing w:lineRule="auto" w:line="264" w:before="0" w:after="0"/>
        <w:jc w:val="end"/>
        <w:rPr>
          <w:rFonts w:ascii="Times New Roman" w:hAnsi="Times New Roman" w:cs="Times New Roman"/>
          <w:sz w:val="24"/>
          <w:szCs w:val="24"/>
          <w:lang w:val="ru-RU"/>
        </w:rPr>
      </w:pPr>
      <w:r>
        <w:rPr>
          <w:rFonts w:cs="Times New Roman" w:ascii="Times New Roman" w:hAnsi="Times New Roman"/>
          <w:sz w:val="24"/>
          <w:szCs w:val="24"/>
          <w:lang w:val="uk-UA"/>
        </w:rPr>
        <w:t>Таблиця</w:t>
      </w:r>
      <w:r>
        <w:rPr>
          <w:rFonts w:cs="Times New Roman" w:ascii="Times New Roman" w:hAnsi="Times New Roman"/>
          <w:sz w:val="24"/>
          <w:szCs w:val="24"/>
          <w:lang w:val="ru-RU"/>
        </w:rPr>
        <w:t xml:space="preserve"> 2 </w:t>
      </w:r>
    </w:p>
    <w:p>
      <w:pPr>
        <w:pStyle w:val="Normal"/>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uk-UA"/>
        </w:rPr>
        <w:t>Обсяги споживання енергоресурсів</w:t>
      </w:r>
    </w:p>
    <w:tbl>
      <w:tblPr>
        <w:tblW w:w="9662" w:type="dxa"/>
        <w:jc w:val="start"/>
        <w:tblInd w:w="-53" w:type="dxa"/>
        <w:tblLayout w:type="fixed"/>
        <w:tblCellMar>
          <w:top w:w="0" w:type="dxa"/>
          <w:start w:w="55" w:type="dxa"/>
          <w:bottom w:w="0" w:type="dxa"/>
          <w:end w:w="55" w:type="dxa"/>
        </w:tblCellMar>
      </w:tblPr>
      <w:tblGrid>
        <w:gridCol w:w="1875"/>
        <w:gridCol w:w="2038"/>
        <w:gridCol w:w="1985"/>
        <w:gridCol w:w="2040"/>
        <w:gridCol w:w="1724"/>
      </w:tblGrid>
      <w:tr>
        <w:trPr>
          <w:trHeight w:val="26" w:hRule="atLeast"/>
        </w:trPr>
        <w:tc>
          <w:tcPr>
            <w:tcW w:w="18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lang w:val="ru-RU"/>
              </w:rPr>
              <w:t>Роки</w:t>
            </w:r>
          </w:p>
        </w:tc>
      </w:tr>
      <w:tr>
        <w:trPr>
          <w:trHeight w:val="26" w:hRule="atLeast"/>
        </w:trPr>
        <w:tc>
          <w:tcPr>
            <w:tcW w:w="18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rPr>
              <w:t>2022</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sz w:val="24"/>
                <w:szCs w:val="24"/>
              </w:rPr>
              <w:t>2024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МВт*год</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476,1</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436,6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422,9</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тис.м</w:t>
            </w:r>
            <w:r>
              <w:rPr>
                <w:rFonts w:cs="Times New Roman" w:ascii="Times New Roman" w:hAnsi="Times New Roman"/>
                <w:b/>
                <w:bCs/>
                <w:sz w:val="24"/>
                <w:szCs w:val="24"/>
                <w:lang w:val="en-US"/>
              </w:rPr>
              <w:t>³</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5,6</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5,1</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Гкал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1681,529</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1862,649</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1801,164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Дрова</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Вугілля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Тонна</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Бензин</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5,8</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Дизель</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ru-RU"/>
              </w:rPr>
              <w:t>тис. л</w:t>
            </w:r>
          </w:p>
        </w:tc>
        <w:tc>
          <w:tcPr>
            <w:tcW w:w="198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20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1,7</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2,7</w:t>
            </w:r>
          </w:p>
        </w:tc>
      </w:tr>
    </w:tbl>
    <w:p>
      <w:pPr>
        <w:pStyle w:val="Normal"/>
        <w:spacing w:lineRule="auto" w:line="240" w:before="0" w:after="0"/>
        <w:jc w:val="end"/>
        <w:rPr>
          <w:rFonts w:ascii="Calibri" w:hAnsi="Calibri" w:cs="Calibri"/>
        </w:rPr>
      </w:pPr>
      <w:r>
        <w:rPr>
          <w:rFonts w:cs="Calibri" w:ascii="Times New Roman" w:hAnsi="Times New Roman"/>
        </w:rPr>
      </w:r>
    </w:p>
    <w:p>
      <w:pPr>
        <w:pStyle w:val="Normal"/>
        <w:spacing w:lineRule="auto" w:line="264" w:before="0" w:after="0"/>
        <w:jc w:val="end"/>
        <w:rPr>
          <w:rFonts w:ascii="Times New Roman" w:hAnsi="Times New Roman" w:cs="Times New Roman"/>
          <w:sz w:val="24"/>
          <w:szCs w:val="24"/>
          <w:lang w:val="ru-RU"/>
        </w:rPr>
      </w:pPr>
      <w:r>
        <w:rPr>
          <w:rFonts w:cs="Times New Roman" w:ascii="Times New Roman" w:hAnsi="Times New Roman"/>
          <w:sz w:val="24"/>
          <w:szCs w:val="24"/>
          <w:lang w:val="uk-UA"/>
        </w:rPr>
        <w:t>Таблиця</w:t>
      </w:r>
      <w:r>
        <w:rPr>
          <w:rFonts w:cs="Times New Roman" w:ascii="Times New Roman" w:hAnsi="Times New Roman"/>
          <w:sz w:val="24"/>
          <w:szCs w:val="24"/>
          <w:lang w:val="ru-RU"/>
        </w:rPr>
        <w:t xml:space="preserve"> </w:t>
      </w:r>
      <w:r>
        <w:rPr>
          <w:rFonts w:cs="Times New Roman" w:ascii="Times New Roman" w:hAnsi="Times New Roman"/>
          <w:sz w:val="24"/>
          <w:szCs w:val="24"/>
          <w:lang w:val="uk-UA"/>
        </w:rPr>
        <w:t>3</w:t>
      </w:r>
    </w:p>
    <w:p>
      <w:pPr>
        <w:pStyle w:val="Normal"/>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uk-UA"/>
        </w:rPr>
        <w:t>Тарифи на комунальні послуги</w:t>
      </w:r>
    </w:p>
    <w:tbl>
      <w:tblPr>
        <w:tblW w:w="9662" w:type="dxa"/>
        <w:jc w:val="start"/>
        <w:tblInd w:w="-53" w:type="dxa"/>
        <w:tblLayout w:type="fixed"/>
        <w:tblCellMar>
          <w:top w:w="0" w:type="dxa"/>
          <w:start w:w="55" w:type="dxa"/>
          <w:bottom w:w="0" w:type="dxa"/>
          <w:end w:w="55" w:type="dxa"/>
        </w:tblCellMar>
      </w:tblPr>
      <w:tblGrid>
        <w:gridCol w:w="2773"/>
        <w:gridCol w:w="1638"/>
        <w:gridCol w:w="1927"/>
        <w:gridCol w:w="1600"/>
        <w:gridCol w:w="1724"/>
      </w:tblGrid>
      <w:tr>
        <w:trPr>
          <w:trHeight w:val="26" w:hRule="atLeast"/>
        </w:trPr>
        <w:tc>
          <w:tcPr>
            <w:tcW w:w="2773"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Од. вим.</w:t>
            </w:r>
          </w:p>
        </w:tc>
        <w:tc>
          <w:tcPr>
            <w:tcW w:w="525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Роки</w:t>
            </w:r>
          </w:p>
        </w:tc>
      </w:tr>
      <w:tr>
        <w:trPr>
          <w:trHeight w:val="26" w:hRule="atLeast"/>
        </w:trPr>
        <w:tc>
          <w:tcPr>
            <w:tcW w:w="2773"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2024</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МВт*год</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0,005242034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0,006342843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0,008163611</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тис.м3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45322,54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33526,56</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20277,15</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Гкал</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3498,86</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4387,39</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5788,11</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Тверде паливо</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Тонна</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21,40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21,40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21,40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15,40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24"/>
                <w:szCs w:val="24"/>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lang w:val="ru-RU"/>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233,54</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239,83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249,72</w:t>
            </w:r>
          </w:p>
        </w:tc>
      </w:tr>
    </w:tbl>
    <w:p>
      <w:pPr>
        <w:pStyle w:val="Normal"/>
        <w:spacing w:lineRule="auto" w:line="240" w:before="0" w:after="0"/>
        <w:jc w:val="end"/>
        <w:rPr>
          <w:rFonts w:ascii="Calibri" w:hAnsi="Calibri" w:cs="Calibri"/>
        </w:rPr>
      </w:pPr>
      <w:r>
        <w:rPr>
          <w:rFonts w:cs="Calibri" w:ascii="Calibri" w:hAnsi="Calibri"/>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
    </w:p>
    <w:p>
      <w:pPr>
        <w:pStyle w:val="Normal"/>
        <w:spacing w:lineRule="auto" w:line="240" w:before="160" w:after="0"/>
        <w:jc w:val="end"/>
        <w:rPr>
          <w:rFonts w:ascii="Times New Roman" w:hAnsi="Times New Roman" w:cs="Times New Roman"/>
          <w:lang w:val="ru-RU"/>
        </w:rPr>
      </w:pPr>
      <w:r>
        <w:rPr>
          <w:rFonts w:cs="Times New Roman" w:ascii="Times New Roman" w:hAnsi="Times New Roman"/>
          <w:lang w:val="ru-UA"/>
        </w:rPr>
        <w:t xml:space="preserve">Таблиця </w:t>
      </w:r>
      <w:r>
        <w:rPr>
          <w:rFonts w:cs="Times New Roman" w:ascii="Times New Roman" w:hAnsi="Times New Roman"/>
          <w:lang w:val="ru-UA"/>
        </w:rPr>
        <w:t>4</w:t>
      </w:r>
    </w:p>
    <w:p>
      <w:pPr>
        <w:pStyle w:val="Normal"/>
        <w:spacing w:lineRule="auto" w:line="240" w:before="0" w:after="0"/>
        <w:jc w:val="center"/>
        <w:rPr>
          <w:rFonts w:ascii="Times New Roman" w:hAnsi="Times New Roman" w:cs="Times New Roman"/>
          <w:lang w:val="ru-RU"/>
        </w:rPr>
      </w:pPr>
      <w:r>
        <w:rPr>
          <w:rFonts w:cs="Times New Roman" w:ascii="Times New Roman" w:hAnsi="Times New Roman"/>
          <w:lang w:val="uk-UA"/>
        </w:rPr>
        <w:t>Наявний потенціал відновлювальних джерел енергії</w:t>
      </w:r>
    </w:p>
    <w:tbl>
      <w:tblPr>
        <w:tblW w:w="9746" w:type="dxa"/>
        <w:jc w:val="start"/>
        <w:tblInd w:w="-43" w:type="dxa"/>
        <w:tblLayout w:type="fixed"/>
        <w:tblCellMar>
          <w:top w:w="0" w:type="dxa"/>
          <w:start w:w="55" w:type="dxa"/>
          <w:bottom w:w="0" w:type="dxa"/>
          <w:end w:w="55" w:type="dxa"/>
        </w:tblCellMar>
      </w:tblPr>
      <w:tblGrid>
        <w:gridCol w:w="386"/>
        <w:gridCol w:w="3409"/>
        <w:gridCol w:w="3180"/>
        <w:gridCol w:w="2771"/>
      </w:tblGrid>
      <w:tr>
        <w:trPr>
          <w:trHeight w:val="1"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rPr>
              <w:t>№</w:t>
            </w:r>
          </w:p>
        </w:tc>
        <w:tc>
          <w:tcPr>
            <w:tcW w:w="340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lang w:val="uk-UA"/>
              </w:rPr>
              <w:t>Назва</w:t>
            </w:r>
          </w:p>
        </w:tc>
        <w:tc>
          <w:tcPr>
            <w:tcW w:w="318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rPr>
            </w:pPr>
            <w:r>
              <w:rPr>
                <w:rFonts w:cs="Times New Roman" w:ascii="Times New Roman" w:hAnsi="Times New Roman"/>
                <w:b/>
                <w:bCs/>
                <w:lang w:val="uk-UA"/>
              </w:rPr>
              <w:t>Кількість об'єктів</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b/>
                <w:bCs/>
                <w:i/>
                <w:iCs/>
                <w:lang w:val="ru-RU"/>
              </w:rPr>
            </w:pPr>
            <w:r>
              <w:rPr>
                <w:rFonts w:cs="Times New Roman" w:ascii="Times New Roman" w:hAnsi="Times New Roman"/>
                <w:b/>
                <w:bCs/>
                <w:lang w:val="uk-UA"/>
              </w:rPr>
              <w:t xml:space="preserve">Загальна встановлена потужність, </w:t>
            </w:r>
            <w:r>
              <w:rPr>
                <w:rFonts w:cs="Times New Roman" w:ascii="Times New Roman" w:hAnsi="Times New Roman"/>
                <w:b/>
                <w:bCs/>
                <w:i/>
                <w:iCs/>
                <w:lang w:val="uk-UA"/>
              </w:rPr>
              <w:t>МВт</w:t>
            </w:r>
          </w:p>
          <w:p>
            <w:pPr>
              <w:pStyle w:val="Normal"/>
              <w:spacing w:lineRule="auto" w:line="240" w:before="0" w:after="0"/>
              <w:jc w:val="center"/>
              <w:rPr>
                <w:rFonts w:ascii="Calibri" w:hAnsi="Calibri" w:cs="Calibri"/>
              </w:rPr>
            </w:pPr>
            <w:r>
              <w:rPr>
                <w:rFonts w:cs="Calibri" w:ascii="Calibri" w:hAnsi="Calibri"/>
              </w:rPr>
            </w:r>
          </w:p>
        </w:tc>
      </w:tr>
      <w:tr>
        <w:trPr>
          <w:trHeight w:val="27"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1</w:t>
            </w:r>
          </w:p>
        </w:tc>
        <w:tc>
          <w:tcPr>
            <w:tcW w:w="340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rPr>
                <w:rFonts w:ascii="Times New Roman" w:hAnsi="Times New Roman" w:cs="Times New Roman"/>
              </w:rPr>
            </w:pPr>
            <w:r>
              <w:rPr>
                <w:rFonts w:cs="Times New Roman" w:ascii="Times New Roman" w:hAnsi="Times New Roman"/>
              </w:rPr>
              <w:t>Комунальне підприємство «Центральна міська лікарня Покровської міської ради Дніпропетровської області»</w:t>
            </w:r>
          </w:p>
        </w:tc>
        <w:tc>
          <w:tcPr>
            <w:tcW w:w="318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 (сонячні електростанції)</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0,246</w:t>
            </w:r>
          </w:p>
        </w:tc>
      </w:tr>
    </w:tbl>
    <w:p>
      <w:pPr>
        <w:pStyle w:val="Normal"/>
        <w:spacing w:lineRule="auto" w:line="240" w:before="160" w:after="0"/>
        <w:jc w:val="end"/>
        <w:rPr>
          <w:rFonts w:ascii="Times New Roman" w:hAnsi="Times New Roman" w:cs="Times New Roman"/>
          <w:lang w:val="ru-RU"/>
        </w:rPr>
      </w:pPr>
      <w:r>
        <w:rPr>
          <w:rFonts w:cs="Times New Roman" w:ascii="Times New Roman" w:hAnsi="Times New Roman"/>
          <w:lang w:val="uk-UA"/>
        </w:rPr>
        <w:t xml:space="preserve">Таблиця </w:t>
      </w:r>
      <w:r>
        <w:rPr>
          <w:rFonts w:cs="Times New Roman" w:ascii="Times New Roman" w:hAnsi="Times New Roman"/>
          <w:lang w:val="uk-UA"/>
        </w:rPr>
        <w:t>5</w:t>
      </w:r>
    </w:p>
    <w:p>
      <w:pPr>
        <w:pStyle w:val="Normal"/>
        <w:spacing w:lineRule="auto" w:line="240" w:before="0" w:after="0"/>
        <w:jc w:val="center"/>
        <w:rPr>
          <w:rFonts w:ascii="Times New Roman" w:hAnsi="Times New Roman" w:cs="Times New Roman"/>
          <w:lang w:val="ru-RU"/>
        </w:rPr>
      </w:pPr>
      <w:r>
        <w:rPr>
          <w:rFonts w:cs="Times New Roman" w:ascii="Times New Roman" w:hAnsi="Times New Roman"/>
          <w:lang w:val="uk-UA"/>
        </w:rPr>
        <w:t>Поточні, попередні та заплановані програми, плани та проєкти щодо підвищення енергоефективності та частки відновлювальних джерел енергії</w:t>
      </w:r>
    </w:p>
    <w:tbl>
      <w:tblPr>
        <w:tblW w:w="9750" w:type="dxa"/>
        <w:jc w:val="start"/>
        <w:tblInd w:w="-43" w:type="dxa"/>
        <w:tblLayout w:type="fixed"/>
        <w:tblCellMar>
          <w:top w:w="0" w:type="dxa"/>
          <w:start w:w="55" w:type="dxa"/>
          <w:bottom w:w="0" w:type="dxa"/>
          <w:end w:w="55" w:type="dxa"/>
        </w:tblCellMar>
      </w:tblPr>
      <w:tblGrid>
        <w:gridCol w:w="386"/>
        <w:gridCol w:w="3589"/>
        <w:gridCol w:w="1875"/>
        <w:gridCol w:w="1125"/>
        <w:gridCol w:w="1245"/>
        <w:gridCol w:w="1530"/>
      </w:tblGrid>
      <w:tr>
        <w:trPr>
          <w:trHeight w:val="1"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rPr>
              <w:t>№</w:t>
            </w:r>
          </w:p>
        </w:tc>
        <w:tc>
          <w:tcPr>
            <w:tcW w:w="358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Назва програми, плану, проєкту</w:t>
            </w:r>
          </w:p>
        </w:tc>
        <w:tc>
          <w:tcPr>
            <w:tcW w:w="187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Зміст заходу</w:t>
            </w:r>
          </w:p>
        </w:tc>
        <w:tc>
          <w:tcPr>
            <w:tcW w:w="112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Період реалізації</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lang w:val="ru-RU"/>
              </w:rPr>
            </w:pPr>
            <w:r>
              <w:rPr>
                <w:rFonts w:cs="Times New Roman" w:ascii="Times New Roman" w:hAnsi="Times New Roman"/>
                <w:b/>
                <w:bCs/>
                <w:sz w:val="24"/>
                <w:szCs w:val="24"/>
                <w:lang w:val="uk-UA"/>
              </w:rPr>
              <w:t>Загальна вартість реалізації, з ПДВ, тис.грн.</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b/>
                <w:bCs/>
                <w:sz w:val="24"/>
                <w:szCs w:val="24"/>
                <w:lang w:val="uk-UA"/>
              </w:rPr>
              <w:t>Встановлена потужність енергії МВт</w:t>
            </w:r>
          </w:p>
        </w:tc>
      </w:tr>
      <w:tr>
        <w:trPr>
          <w:trHeight w:val="27" w:hRule="atLeast"/>
        </w:trPr>
        <w:tc>
          <w:tcPr>
            <w:tcW w:w="386"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1</w:t>
            </w:r>
          </w:p>
        </w:tc>
        <w:tc>
          <w:tcPr>
            <w:tcW w:w="3589"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Постачання та монтаж гібридної сонячної електростанції потужністю 120 кВт включно з комплектом АКБ (51кВт) та проектно-вишукувальними роботами</w:t>
            </w:r>
          </w:p>
        </w:tc>
        <w:tc>
          <w:tcPr>
            <w:tcW w:w="187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szCs w:val="24"/>
              </w:rPr>
              <w:t>Влаштування дахової сонячної електростанції на даху головного хірургічного корпусу</w:t>
            </w:r>
          </w:p>
        </w:tc>
        <w:tc>
          <w:tcPr>
            <w:tcW w:w="112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2024</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4 410,7</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0,12</w:t>
            </w:r>
          </w:p>
        </w:tc>
      </w:tr>
      <w:tr>
        <w:trPr>
          <w:trHeight w:val="27" w:hRule="atLeast"/>
        </w:trPr>
        <w:tc>
          <w:tcPr>
            <w:tcW w:w="386"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2</w:t>
            </w:r>
          </w:p>
        </w:tc>
        <w:tc>
          <w:tcPr>
            <w:tcW w:w="3589"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szCs w:val="24"/>
              </w:rPr>
              <w:t>Реконструкція електричних мереж шляхом влаштування дахової сонячної електростанції на даху акушерсько-гінекологічного корпусу комунального підприємства "Центральна міська лікарня Покровської міської ради Дніпропетровської області", що розташований за адресою по вул.Медична, 19 м.Покров, Нікопольського району Дніпропетровської області</w:t>
            </w:r>
          </w:p>
        </w:tc>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szCs w:val="24"/>
              </w:rPr>
              <w:t>Влаштування дахової сонячної електростанції на даху акушерсько-гінекологічного корпусу корпусу</w:t>
            </w:r>
          </w:p>
        </w:tc>
        <w:tc>
          <w:tcPr>
            <w:tcW w:w="11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2025</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3 216,7</w:t>
            </w:r>
          </w:p>
        </w:tc>
        <w:tc>
          <w:tcPr>
            <w:tcW w:w="1530"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sz w:val="24"/>
                <w:szCs w:val="24"/>
              </w:rPr>
              <w:t>0,062</w:t>
            </w:r>
          </w:p>
        </w:tc>
      </w:tr>
      <w:tr>
        <w:trPr>
          <w:trHeight w:val="27" w:hRule="atLeast"/>
        </w:trPr>
        <w:tc>
          <w:tcPr>
            <w:tcW w:w="386"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w:t>
            </w:r>
          </w:p>
        </w:tc>
        <w:tc>
          <w:tcPr>
            <w:tcW w:w="3589"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rPr>
              <w:t>Реконструкція електричних мереж шляхом влаштування дахової сонячної електростанції на даху терапевтичного корпусу комунального підприємства "Центральна міська лікарня Покровської міської ради Дніпропетровської області", що розташований за адресою по вул.Медична, 19-Р  м.Покров, Нікопольський район, Дніпропетровська область</w:t>
            </w:r>
          </w:p>
        </w:tc>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eastAsia="Bookman Old Style" w:cs="Times New Roman" w:ascii="Times New Roman" w:hAnsi="Times New Roman"/>
                <w:bCs/>
                <w:sz w:val="24"/>
              </w:rPr>
              <w:t>Влаштування дахової сонячної електростанції на даху терапевтичного корпусу</w:t>
            </w:r>
          </w:p>
        </w:tc>
        <w:tc>
          <w:tcPr>
            <w:tcW w:w="11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2025</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4 126,9</w:t>
            </w:r>
          </w:p>
        </w:tc>
        <w:tc>
          <w:tcPr>
            <w:tcW w:w="1530"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0,064</w:t>
            </w:r>
          </w:p>
        </w:tc>
      </w:tr>
    </w:tbl>
    <w:p>
      <w:pPr>
        <w:pStyle w:val="Normal"/>
        <w:spacing w:before="160" w:after="0"/>
        <w:jc w:val="end"/>
        <w:rPr>
          <w:rFonts w:ascii="Times New Roman" w:hAnsi="Times New Roman"/>
        </w:rPr>
      </w:pPr>
      <w:r>
        <w:rPr>
          <w:rFonts w:ascii="Times New Roman" w:hAnsi="Times New Roman"/>
          <w:sz w:val="22"/>
          <w:szCs w:val="22"/>
        </w:rPr>
        <w:t xml:space="preserve">Таблиця </w:t>
      </w:r>
      <w:r>
        <w:rPr>
          <w:rFonts w:ascii="Times New Roman" w:hAnsi="Times New Roman"/>
          <w:sz w:val="22"/>
          <w:szCs w:val="22"/>
        </w:rPr>
        <w:t>6</w:t>
      </w:r>
    </w:p>
    <w:p>
      <w:pPr>
        <w:pStyle w:val="Default"/>
        <w:jc w:val="center"/>
        <w:rPr>
          <w:rFonts w:ascii="Times New Roman" w:hAnsi="Times New Roman"/>
          <w:sz w:val="24"/>
          <w:szCs w:val="24"/>
        </w:rPr>
      </w:pPr>
      <w:r>
        <w:rPr>
          <w:rFonts w:cs="Century Gothic"/>
          <w:color w:val="auto"/>
          <w:sz w:val="24"/>
          <w:szCs w:val="24"/>
        </w:rPr>
        <w:t>Р</w:t>
      </w:r>
      <w:r>
        <w:rPr>
          <w:rFonts w:cs="Century Gothic"/>
          <w:color w:val="auto"/>
          <w:sz w:val="22"/>
          <w:szCs w:val="22"/>
        </w:rPr>
        <w:t>ічне споживання палива транспортними засобами 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5,8</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5,1</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3,3</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0,5</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0,8</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bl>
    <w:p>
      <w:pPr>
        <w:pStyle w:val="Normal"/>
        <w:spacing w:lineRule="auto" w:line="259" w:before="0" w:after="0"/>
        <w:jc w:val="end"/>
        <w:rPr>
          <w:color w:val="000000"/>
        </w:rPr>
      </w:pPr>
      <w:r>
        <w:rPr>
          <w:rFonts w:eastAsia="Century Gothic" w:cs="Century Gothic" w:ascii="Times New Roman" w:hAnsi="Times New Roman"/>
          <w:kern w:val="0"/>
          <w:sz w:val="24"/>
          <w:szCs w:val="24"/>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sectPr>
          <w:headerReference w:type="default" r:id="rId42"/>
          <w:headerReference w:type="first" r:id="rId43"/>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Normal"/>
        <w:spacing w:lineRule="auto" w:line="264" w:before="0" w:after="0"/>
        <w:jc w:val="end"/>
        <w:rPr>
          <w:rFonts w:ascii="Times New Roman" w:hAnsi="Times New Roman" w:cs="Times New Roman"/>
        </w:rPr>
      </w:pPr>
      <w:r>
        <w:rPr>
          <w:rFonts w:cs="Times New Roman" w:ascii="Times New Roman" w:hAnsi="Times New Roman"/>
        </w:rPr>
        <w:t xml:space="preserve">Таблиця </w:t>
      </w:r>
      <w:r>
        <w:rPr>
          <w:rFonts w:cs="Times New Roman" w:ascii="Times New Roman" w:hAnsi="Times New Roman"/>
        </w:rPr>
        <w:t>7</w:t>
      </w:r>
      <w:r>
        <w:rPr>
          <w:rFonts w:cs="Times New Roman" w:ascii="Times New Roman" w:hAnsi="Times New Roman"/>
        </w:rPr>
        <w:t xml:space="preserve"> </w:t>
      </w:r>
    </w:p>
    <w:p>
      <w:pPr>
        <w:pStyle w:val="Normal"/>
        <w:spacing w:lineRule="auto" w:line="240" w:before="0" w:after="0"/>
        <w:jc w:val="center"/>
        <w:rPr>
          <w:rFonts w:ascii="Times New Roman" w:hAnsi="Times New Roman" w:cs="Times New Roman"/>
          <w:color w:val="000000"/>
        </w:rPr>
      </w:pPr>
      <w:r>
        <w:rPr>
          <w:rFonts w:cs="Times New Roman" w:ascii="Times New Roman" w:hAnsi="Times New Roman"/>
          <w:color w:val="000000"/>
        </w:rPr>
        <w:t>Характеристики будівель комунальних підприємств, установ (закладів) та організацій</w:t>
      </w:r>
    </w:p>
    <w:p>
      <w:pPr>
        <w:pStyle w:val="Normal"/>
        <w:spacing w:lineRule="auto" w:line="240" w:before="0" w:after="0"/>
        <w:jc w:val="center"/>
        <w:rPr>
          <w:rFonts w:ascii="Calibri" w:hAnsi="Calibri" w:cs="Calibri"/>
          <w:lang w:val="ru-RU"/>
        </w:rPr>
      </w:pPr>
      <w:r>
        <w:rPr>
          <w:rFonts w:cs="Calibri" w:ascii="Calibri" w:hAnsi="Calibri"/>
          <w:lang w:val="ru-RU"/>
        </w:rPr>
      </w:r>
    </w:p>
    <w:tbl>
      <w:tblPr>
        <w:tblW w:w="14569" w:type="dxa"/>
        <w:jc w:val="start"/>
        <w:tblInd w:w="55" w:type="dxa"/>
        <w:tblLayout w:type="fixed"/>
        <w:tblCellMar>
          <w:top w:w="0" w:type="dxa"/>
          <w:start w:w="55" w:type="dxa"/>
          <w:bottom w:w="0" w:type="dxa"/>
          <w:end w:w="55" w:type="dxa"/>
        </w:tblCellMar>
      </w:tblPr>
      <w:tblGrid>
        <w:gridCol w:w="900"/>
        <w:gridCol w:w="1425"/>
        <w:gridCol w:w="1140"/>
        <w:gridCol w:w="555"/>
        <w:gridCol w:w="510"/>
        <w:gridCol w:w="915"/>
        <w:gridCol w:w="735"/>
        <w:gridCol w:w="1245"/>
        <w:gridCol w:w="975"/>
        <w:gridCol w:w="1350"/>
        <w:gridCol w:w="915"/>
        <w:gridCol w:w="1470"/>
        <w:gridCol w:w="1505"/>
        <w:gridCol w:w="929"/>
      </w:tblGrid>
      <w:tr>
        <w:trPr>
          <w:trHeight w:val="1" w:hRule="atLeast"/>
        </w:trPr>
        <w:tc>
          <w:tcPr>
            <w:tcW w:w="90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Назва об'єкту</w:t>
            </w:r>
          </w:p>
        </w:tc>
        <w:tc>
          <w:tcPr>
            <w:tcW w:w="142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Адреса будівлі</w:t>
            </w:r>
          </w:p>
        </w:tc>
        <w:tc>
          <w:tcPr>
            <w:tcW w:w="114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Функціональне призначення</w:t>
            </w:r>
          </w:p>
        </w:tc>
        <w:tc>
          <w:tcPr>
            <w:tcW w:w="55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Рік прийняття в експлуатацію</w:t>
            </w:r>
          </w:p>
        </w:tc>
        <w:tc>
          <w:tcPr>
            <w:tcW w:w="51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Кіль-кість поверхів</w:t>
            </w:r>
          </w:p>
        </w:tc>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16"/>
                <w:szCs w:val="16"/>
              </w:rPr>
              <w:t>Загальна площа будівлі, м2;</w:t>
            </w:r>
          </w:p>
        </w:tc>
        <w:tc>
          <w:tcPr>
            <w:tcW w:w="73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Опалю-вальна/охолоджувальна площа будівлі (м2)</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b/>
                <w:bCs/>
                <w:sz w:val="16"/>
                <w:szCs w:val="16"/>
              </w:rPr>
            </w:pPr>
            <w:r>
              <w:rPr>
                <w:rFonts w:cs="Times New Roman" w:ascii="Times New Roman" w:hAnsi="Times New Roman"/>
                <w:b/>
                <w:bCs/>
                <w:sz w:val="16"/>
                <w:szCs w:val="16"/>
              </w:rPr>
              <w:t>Інформація щодо джерела тепло-</w:t>
            </w:r>
          </w:p>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постачання</w:t>
            </w:r>
          </w:p>
        </w:tc>
        <w:tc>
          <w:tcPr>
            <w:tcW w:w="97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гарячої води</w:t>
            </w:r>
          </w:p>
        </w:tc>
        <w:tc>
          <w:tcPr>
            <w:tcW w:w="1350"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водопос-тачання</w:t>
            </w:r>
          </w:p>
        </w:tc>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джерела постачання газа</w:t>
            </w:r>
          </w:p>
        </w:tc>
        <w:tc>
          <w:tcPr>
            <w:tcW w:w="1470" w:type="dxa"/>
            <w:tcBorders>
              <w:top w:val="single" w:sz="4" w:space="0" w:color="000000"/>
              <w:start w:val="single" w:sz="4" w:space="0" w:color="000000"/>
              <w:bottom w:val="single" w:sz="4"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Інформація щодо встанов-леної потуж-ності тепло-генеруючої установки (котлів), кВт</w:t>
            </w:r>
          </w:p>
        </w:tc>
        <w:tc>
          <w:tcPr>
            <w:tcW w:w="1505" w:type="dxa"/>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lang w:val="ru-RU"/>
              </w:rPr>
              <w:t xml:space="preserve"> </w:t>
            </w:r>
            <w:r>
              <w:rPr>
                <w:rFonts w:cs="Times New Roman" w:ascii="Times New Roman" w:hAnsi="Times New Roman"/>
                <w:b/>
                <w:bCs/>
                <w:sz w:val="16"/>
                <w:szCs w:val="16"/>
              </w:rPr>
              <w:t>Інформація щодо джерела постачання електричної енергії</w:t>
            </w:r>
          </w:p>
        </w:tc>
        <w:tc>
          <w:tcPr>
            <w:tcW w:w="92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16"/>
                <w:szCs w:val="16"/>
              </w:rPr>
              <w:t>Розрахункове електричне навантаження кВт (відповідно до договорів)</w:t>
            </w:r>
          </w:p>
        </w:tc>
      </w:tr>
      <w:tr>
        <w:trPr>
          <w:trHeight w:val="1" w:hRule="atLeast"/>
        </w:trPr>
        <w:tc>
          <w:tcPr>
            <w:tcW w:w="14569" w:type="dxa"/>
            <w:gridSpan w:val="14"/>
            <w:tcBorders>
              <w:top w:val="single" w:sz="2" w:space="0" w:color="000000"/>
              <w:start w:val="single" w:sz="4" w:space="0" w:color="000000"/>
              <w:bottom w:val="single" w:sz="4" w:space="0" w:color="000000"/>
              <w:end w:val="single" w:sz="4" w:space="0" w:color="000000"/>
            </w:tcBorders>
          </w:tcPr>
          <w:p>
            <w:pPr>
              <w:pStyle w:val="Normal"/>
              <w:spacing w:lineRule="auto" w:line="240" w:before="0" w:after="0"/>
              <w:rPr>
                <w:rFonts w:ascii="Calibri" w:hAnsi="Calibri" w:cs="Calibri"/>
              </w:rPr>
            </w:pPr>
            <w:r>
              <w:rPr>
                <w:rFonts w:cs="Times New Roman" w:ascii="Times New Roman" w:hAnsi="Times New Roman"/>
                <w:sz w:val="20"/>
                <w:szCs w:val="20"/>
              </w:rPr>
              <w:t>Балансоутримувач (назва) Комунальне підприємство "Центральна міська лікарня Покровської міської ради Дніпропетровської області"</w:t>
            </w:r>
          </w:p>
        </w:tc>
      </w:tr>
      <w:tr>
        <w:trPr>
          <w:trHeight w:val="1" w:hRule="atLeast"/>
        </w:trPr>
        <w:tc>
          <w:tcPr>
            <w:tcW w:w="9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w:t>
            </w:r>
            <w:r>
              <w:rPr>
                <w:rFonts w:cs="Times New Roman" w:ascii="Times New Roman" w:hAnsi="Times New Roman"/>
                <w:sz w:val="20"/>
                <w:szCs w:val="20"/>
              </w:rPr>
              <w:t>у</w:t>
            </w:r>
            <w:r>
              <w:rPr>
                <w:rFonts w:cs="Times New Roman" w:ascii="Times New Roman" w:hAnsi="Times New Roman"/>
                <w:sz w:val="20"/>
                <w:szCs w:val="20"/>
              </w:rPr>
              <w:t>д.19-Р</w:t>
            </w:r>
          </w:p>
        </w:tc>
        <w:tc>
          <w:tcPr>
            <w:tcW w:w="11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Терапевтичний корпус</w:t>
            </w:r>
          </w:p>
        </w:tc>
        <w:tc>
          <w:tcPr>
            <w:tcW w:w="55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3671,3</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3671,3</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929"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127</w:t>
            </w:r>
          </w:p>
        </w:tc>
      </w:tr>
      <w:tr>
        <w:trPr>
          <w:trHeight w:val="1" w:hRule="atLeast"/>
        </w:trPr>
        <w:tc>
          <w:tcPr>
            <w:tcW w:w="900"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буд.19-Д</w:t>
            </w:r>
          </w:p>
        </w:tc>
        <w:tc>
          <w:tcPr>
            <w:tcW w:w="11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Інфекційний корпус</w:t>
            </w:r>
          </w:p>
        </w:tc>
        <w:tc>
          <w:tcPr>
            <w:tcW w:w="55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971,6</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971,6</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12,5</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 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буд.19-М</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Паталого-анатомічне відділення</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188,7</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164,9</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21</w:t>
            </w:r>
          </w:p>
        </w:tc>
      </w:tr>
      <w:tr>
        <w:trPr>
          <w:trHeight w:val="1227"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буд.19-Н</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Складські приміщення</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1961</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116,4</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7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буд.19-П</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дезкамери з автогаражами № 1,2,3,4,5</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1955</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329,2</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329,2</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буд.19-Е</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Пральня лікарні</w:t>
            </w:r>
          </w:p>
        </w:tc>
        <w:tc>
          <w:tcPr>
            <w:tcW w:w="55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1955</w:t>
            </w:r>
          </w:p>
        </w:tc>
        <w:tc>
          <w:tcPr>
            <w:tcW w:w="51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267,2</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252,6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9,1</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 в</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Головний хірургічний  корпус</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7930,6</w:t>
            </w:r>
          </w:p>
        </w:tc>
        <w:tc>
          <w:tcPr>
            <w:tcW w:w="73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7911,4</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293,5</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буд.19-ж</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Дитячий корпус</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1359,6</w:t>
            </w:r>
          </w:p>
        </w:tc>
        <w:tc>
          <w:tcPr>
            <w:tcW w:w="73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1338,6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24</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jc w:val="center"/>
              <w:rPr>
                <w:rFonts w:ascii="Times New Roman" w:hAnsi="Times New Roman" w:cs="Times New Roman"/>
                <w:sz w:val="20"/>
                <w:szCs w:val="20"/>
              </w:rPr>
            </w:pPr>
            <w:r>
              <w:rPr>
                <w:rFonts w:cs="Times New Roman" w:ascii="Times New Roman" w:hAnsi="Times New Roman"/>
                <w:sz w:val="20"/>
                <w:szCs w:val="20"/>
              </w:rPr>
              <w:t>буд.19-Ю</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харчоблоку лікарні</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262,4</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225,6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78</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буд.19г/2</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Нежитлове приміщення №ІІ (ЦСВ) господарчого корпусу</w:t>
            </w:r>
          </w:p>
        </w:tc>
        <w:tc>
          <w:tcPr>
            <w:tcW w:w="55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1977</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246,3</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246,3</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133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jc w:val="center"/>
              <w:rPr>
                <w:rFonts w:ascii="Times New Roman" w:hAnsi="Times New Roman" w:cs="Times New Roman"/>
                <w:sz w:val="20"/>
                <w:szCs w:val="20"/>
              </w:rPr>
            </w:pPr>
            <w:r>
              <w:rPr>
                <w:rFonts w:cs="Times New Roman" w:ascii="Times New Roman" w:hAnsi="Times New Roman"/>
                <w:sz w:val="20"/>
                <w:szCs w:val="20"/>
              </w:rPr>
              <w:t>буд.19-Ш</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Захисна споруда цивільного захисту</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1980</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525,8</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буд.19-И</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швидкої допомоги з автогаражами № 6,7,8,9</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1988</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w:t>
            </w:r>
          </w:p>
        </w:tc>
        <w:tc>
          <w:tcPr>
            <w:tcW w:w="91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891,6</w:t>
            </w:r>
          </w:p>
        </w:tc>
        <w:tc>
          <w:tcPr>
            <w:tcW w:w="73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891,6</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3</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буд.19-К</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Акушерсько-гінекологічний корпус</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1991</w:t>
            </w:r>
          </w:p>
        </w:tc>
        <w:tc>
          <w:tcPr>
            <w:tcW w:w="51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5</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4501,5</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4501,5</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Водонагрівальні баки</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АТ «ДТЕК ДНІПРОВСЬКІ ЕЛЕКТРОМЕРЕЖІ»</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127</w:t>
            </w:r>
          </w:p>
        </w:tc>
      </w:tr>
      <w:tr>
        <w:trPr>
          <w:trHeight w:val="1" w:hRule="atLeast"/>
        </w:trPr>
        <w:tc>
          <w:tcPr>
            <w:tcW w:w="900"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буд.19-Ф</w:t>
            </w:r>
          </w:p>
        </w:tc>
        <w:tc>
          <w:tcPr>
            <w:tcW w:w="114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складу</w:t>
            </w:r>
          </w:p>
        </w:tc>
        <w:tc>
          <w:tcPr>
            <w:tcW w:w="55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1966</w:t>
            </w:r>
          </w:p>
        </w:tc>
        <w:tc>
          <w:tcPr>
            <w:tcW w:w="51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286,8</w:t>
            </w:r>
          </w:p>
        </w:tc>
        <w:tc>
          <w:tcPr>
            <w:tcW w:w="73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242,2</w:t>
            </w:r>
          </w:p>
        </w:tc>
        <w:tc>
          <w:tcPr>
            <w:tcW w:w="124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ТОВ «АТЛАС-АКТИВ»</w:t>
            </w:r>
          </w:p>
        </w:tc>
        <w:tc>
          <w:tcPr>
            <w:tcW w:w="97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МКП «Покровводоканал»</w:t>
            </w:r>
          </w:p>
        </w:tc>
        <w:tc>
          <w:tcPr>
            <w:tcW w:w="915" w:type="dxa"/>
            <w:tcBorders>
              <w:top w:val="single" w:sz="2" w:space="0" w:color="000000"/>
              <w:start w:val="single" w:sz="4" w:space="0" w:color="000000"/>
              <w:bottom w:val="single" w:sz="2"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513 кВт</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Котельня ТОВ «АТЛАС-АКТИВ»</w:t>
            </w:r>
          </w:p>
        </w:tc>
        <w:tc>
          <w:tcPr>
            <w:tcW w:w="1505" w:type="dxa"/>
            <w:tcBorders>
              <w:top w:val="single" w:sz="2" w:space="0" w:color="000000"/>
              <w:start w:val="single" w:sz="4" w:space="0" w:color="000000"/>
              <w:bottom w:val="single" w:sz="2"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929" w:type="dxa"/>
            <w:tcBorders>
              <w:top w:val="single" w:sz="2" w:space="0" w:color="000000"/>
              <w:start w:val="single" w:sz="4" w:space="0" w:color="000000"/>
              <w:bottom w:val="single" w:sz="2"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r>
      <w:tr>
        <w:trPr>
          <w:trHeight w:val="1" w:hRule="atLeast"/>
        </w:trPr>
        <w:tc>
          <w:tcPr>
            <w:tcW w:w="900"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Охорона здоров'я</w:t>
            </w:r>
          </w:p>
        </w:tc>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м.Покров, Нікопольський район, вул.Медична,</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буд.19-Ч</w:t>
            </w:r>
          </w:p>
        </w:tc>
        <w:tc>
          <w:tcPr>
            <w:tcW w:w="114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Будівля складу запасних частин</w:t>
            </w:r>
          </w:p>
        </w:tc>
        <w:tc>
          <w:tcPr>
            <w:tcW w:w="55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1955</w:t>
            </w:r>
          </w:p>
        </w:tc>
        <w:tc>
          <w:tcPr>
            <w:tcW w:w="51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133,4</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7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35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470" w:type="dxa"/>
            <w:tcBorders>
              <w:top w:val="single" w:sz="2" w:space="0" w:color="000000"/>
              <w:start w:val="single" w:sz="4" w:space="0" w:color="000000"/>
              <w:bottom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c>
          <w:tcPr>
            <w:tcW w:w="1505" w:type="dxa"/>
            <w:tcBorders>
              <w:top w:val="single" w:sz="2" w:space="0" w:color="000000"/>
              <w:start w:val="single" w:sz="4" w:space="0" w:color="000000"/>
              <w:bottom w:val="single" w:sz="4" w:space="0" w:color="000000"/>
              <w:end w:val="single" w:sz="2" w:space="0" w:color="000000"/>
            </w:tcBorders>
          </w:tcPr>
          <w:p>
            <w:pPr>
              <w:pStyle w:val="Normal"/>
              <w:jc w:val="center"/>
              <w:rPr>
                <w:rFonts w:ascii="Times New Roman" w:hAnsi="Times New Roman" w:cs="Times New Roman"/>
                <w:sz w:val="20"/>
                <w:szCs w:val="20"/>
              </w:rPr>
            </w:pPr>
            <w:r>
              <w:rPr>
                <w:rFonts w:cs="Times New Roman" w:ascii="Times New Roman" w:hAnsi="Times New Roman"/>
                <w:sz w:val="20"/>
                <w:szCs w:val="20"/>
              </w:rPr>
              <w:t>-</w:t>
            </w:r>
          </w:p>
        </w:tc>
        <w:tc>
          <w:tcPr>
            <w:tcW w:w="929"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tc>
      </w:tr>
    </w:tbl>
    <w:p>
      <w:pPr>
        <w:pStyle w:val="Normal"/>
        <w:spacing w:lineRule="auto" w:line="240" w:before="0" w:after="0"/>
        <w:jc w:val="center"/>
        <w:rPr>
          <w:rFonts w:ascii="Calibri" w:hAnsi="Calibri" w:cs="Calibri"/>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b/>
          <w:color w:val="000000"/>
        </w:rPr>
      </w:pPr>
      <w:r>
        <w:rPr>
          <w:rFonts w:eastAsia="Century Gothic" w:cs="Century Gothic" w:ascii="Times New Roman" w:hAnsi="Times New Roman"/>
          <w:b w:val="false"/>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both"/>
        <w:rPr>
          <w:rFonts w:ascii="Times New Roman" w:hAnsi="Times New Roman" w:eastAsia="Century Gothic" w:cs="Century Gothic"/>
          <w:b w:val="false"/>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val="false"/>
          <w:bCs/>
          <w:i w:val="false"/>
          <w:caps w:val="false"/>
          <w:smallCaps w:val="false"/>
          <w:color w:val="000000"/>
          <w:spacing w:val="0"/>
          <w:kern w:val="0"/>
          <w:sz w:val="28"/>
          <w:szCs w:val="28"/>
          <w:shd w:fill="auto" w:val="clear"/>
          <w:lang w:eastAsia="uk-UA"/>
        </w:rPr>
        <w:t xml:space="preserve">Вихідні дані </w:t>
      </w:r>
      <w:r>
        <w:rPr>
          <w:rFonts w:eastAsia="Century Gothic" w:cs="Century Gothic" w:ascii="Times New Roman" w:hAnsi="Times New Roman"/>
          <w:b w:val="false"/>
          <w:bCs/>
          <w:i w:val="false"/>
          <w:caps w:val="false"/>
          <w:smallCaps w:val="false"/>
          <w:color w:val="000000"/>
          <w:spacing w:val="0"/>
          <w:kern w:val="0"/>
          <w:sz w:val="28"/>
          <w:szCs w:val="28"/>
          <w:shd w:fill="auto" w:val="clear"/>
          <w:lang w:eastAsia="uk-UA"/>
        </w:rPr>
        <w:t>відділу культури, туризму, національностей і релігій виконавчого комітету Покровської міської ради Дніпропетровської області</w:t>
      </w:r>
      <w:r>
        <w:rPr>
          <w:rFonts w:eastAsia="Century Gothic" w:cs="Century Gothic" w:ascii="Times New Roman" w:hAnsi="Times New Roman"/>
          <w:b w:val="false"/>
          <w:bCs/>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tabs>
          <w:tab w:val="clear" w:pos="709"/>
        </w:tabs>
        <w:jc w:val="end"/>
        <w:rPr>
          <w:rFonts w:ascii="Times New Roman" w:hAnsi="Times New Roman"/>
          <w:color w:val="000000"/>
        </w:rPr>
      </w:pPr>
      <w:r>
        <w:rPr>
          <w:rFonts w:ascii="Times New Roman" w:hAnsi="Times New Roman"/>
          <w:color w:val="000000"/>
        </w:rPr>
        <w:t>Таблиця 1</w:t>
      </w:r>
    </w:p>
    <w:p>
      <w:pPr>
        <w:pStyle w:val="Normal"/>
        <w:tabs>
          <w:tab w:val="clear" w:pos="709"/>
        </w:tabs>
        <w:jc w:val="center"/>
        <w:rPr>
          <w:rFonts w:ascii="Times New Roman" w:hAnsi="Times New Roman"/>
          <w:b/>
          <w:color w:val="000000"/>
        </w:rPr>
      </w:pPr>
      <w:r>
        <w:rPr>
          <w:rFonts w:ascii="Times New Roman" w:hAnsi="Times New Roman"/>
          <w:b/>
          <w:color w:val="000000"/>
        </w:rPr>
        <w:t>Кількість та площа будівель</w:t>
      </w:r>
    </w:p>
    <w:tbl>
      <w:tblPr>
        <w:tblW w:w="14078" w:type="dxa"/>
        <w:jc w:val="start"/>
        <w:tblInd w:w="-35" w:type="dxa"/>
        <w:tblLayout w:type="fixed"/>
        <w:tblCellMar>
          <w:top w:w="55" w:type="dxa"/>
          <w:start w:w="55" w:type="dxa"/>
          <w:bottom w:w="55" w:type="dxa"/>
          <w:end w:w="55" w:type="dxa"/>
        </w:tblCellMar>
      </w:tblPr>
      <w:tblGrid>
        <w:gridCol w:w="426"/>
        <w:gridCol w:w="6676"/>
        <w:gridCol w:w="888"/>
        <w:gridCol w:w="872"/>
        <w:gridCol w:w="840"/>
        <w:gridCol w:w="1142"/>
        <w:gridCol w:w="935"/>
        <w:gridCol w:w="1395"/>
        <w:gridCol w:w="904"/>
      </w:tblGrid>
      <w:tr>
        <w:trPr>
          <w:trHeight w:val="1230" w:hRule="atLeast"/>
        </w:trPr>
        <w:tc>
          <w:tcPr>
            <w:tcW w:w="426"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w:t>
            </w:r>
          </w:p>
        </w:tc>
        <w:tc>
          <w:tcPr>
            <w:tcW w:w="6676" w:type="dxa"/>
            <w:tcBorders>
              <w:top w:val="single" w:sz="4" w:space="0" w:color="000000"/>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Найменування бюджетного закладу</w:t>
            </w:r>
          </w:p>
        </w:tc>
        <w:tc>
          <w:tcPr>
            <w:tcW w:w="888"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закладів</w:t>
            </w:r>
          </w:p>
        </w:tc>
        <w:tc>
          <w:tcPr>
            <w:tcW w:w="872"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окремих власних будівель</w:t>
            </w:r>
          </w:p>
        </w:tc>
        <w:tc>
          <w:tcPr>
            <w:tcW w:w="840"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будівель, займаних всього</w:t>
            </w:r>
          </w:p>
        </w:tc>
        <w:tc>
          <w:tcPr>
            <w:tcW w:w="1142"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Кількість будівель займаних, що опалюються</w:t>
            </w:r>
          </w:p>
        </w:tc>
        <w:tc>
          <w:tcPr>
            <w:tcW w:w="935"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Площа будівель займаних, всього м2</w:t>
            </w:r>
          </w:p>
        </w:tc>
        <w:tc>
          <w:tcPr>
            <w:tcW w:w="1395" w:type="dxa"/>
            <w:tcBorders>
              <w:top w:val="single" w:sz="4" w:space="0" w:color="000000"/>
              <w:start w:val="single" w:sz="4" w:space="0" w:color="000000"/>
              <w:bottom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Площа будівель займаних, що опалюються, всього м2</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s>
              <w:jc w:val="start"/>
              <w:rPr>
                <w:rFonts w:ascii="Times New Roman" w:hAnsi="Times New Roman"/>
              </w:rPr>
            </w:pPr>
            <w:r>
              <w:rPr>
                <w:rFonts w:ascii="Times New Roman" w:hAnsi="Times New Roman"/>
              </w:rPr>
              <w:t>Площа будівель займаних,  всього, %</w:t>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Покровська школа мистецтв  "Арт-мюзік"</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1308,2</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1274,52</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63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2</w:t>
            </w:r>
          </w:p>
        </w:tc>
        <w:tc>
          <w:tcPr>
            <w:tcW w:w="6676" w:type="dxa"/>
            <w:tcBorders>
              <w:start w:val="single" w:sz="4" w:space="0" w:color="000000"/>
              <w:bottom w:val="single" w:sz="4" w:space="0" w:color="000000"/>
            </w:tcBorders>
          </w:tcPr>
          <w:p>
            <w:pPr>
              <w:pStyle w:val="Normal"/>
              <w:tabs>
                <w:tab w:val="clear" w:pos="709"/>
              </w:tabs>
              <w:jc w:val="start"/>
              <w:rPr>
                <w:rFonts w:ascii="Times New Roman" w:hAnsi="Times New Roman"/>
              </w:rPr>
            </w:pPr>
            <w:r>
              <w:rPr>
                <w:rFonts w:ascii="Times New Roman" w:hAnsi="Times New Roman"/>
              </w:rPr>
              <w:t>Покровська музична школа "Домінанта" (орендоване приміщення Управління освіти загальною площею 360,0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5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3</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КЗ "Публічна бібліотека ПМР ДО з філіями" (орендоване приміщення Управління освіти загальною площею 712,0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7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4</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Бібліотека- філія №2 (нежиле приміщення загальною площею 60,8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8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5</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Бібліотека- філія №3 (орендоване нежиле приміщення ЖКС загальною площею 70,5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5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6</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Народний історико-краєзнавчий музей ім. М.А.Занудька (нежиле приміщення зангальною площею 225,0 м2)</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285"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7</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Клуб с. П.Хутори</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445,4</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320</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r>
        <w:trPr>
          <w:trHeight w:val="507"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8</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Комунальний базовий клубний заклад "Шолоховський сільський будинок культури ПМР ДО з філіями"</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867,0</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9</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Шолоховська сільська бібліотека-філія № 4</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10</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Філія № 1 "Базавлуцький сільський клуб"</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509,1</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11</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 xml:space="preserve">Базавлуцька сільська бібліотека-філія № 6 </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12</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Філія № 2 "Миронівський сільський клуб"</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566,5</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end"/>
              <w:rPr>
                <w:rFonts w:ascii="Times New Roman" w:hAnsi="Times New Roman"/>
              </w:rPr>
            </w:pPr>
            <w:r>
              <w:rPr>
                <w:rFonts w:ascii="Times New Roman" w:hAnsi="Times New Roman"/>
              </w:rPr>
              <w:t>13</w:t>
            </w:r>
          </w:p>
        </w:tc>
        <w:tc>
          <w:tcPr>
            <w:tcW w:w="667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Fonts w:ascii="Times New Roman" w:hAnsi="Times New Roman"/>
              </w:rPr>
              <w:t>Миронівська сільська бібліотека-філія № 5</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center"/>
          </w:tcPr>
          <w:p>
            <w:pPr>
              <w:pStyle w:val="Normal"/>
              <w:tabs>
                <w:tab w:val="clear" w:pos="709"/>
              </w:tabs>
              <w:jc w:val="end"/>
              <w:rPr>
                <w:rFonts w:ascii="Times New Roman" w:hAnsi="Times New Roman"/>
              </w:rPr>
            </w:pPr>
            <w:r>
              <w:rPr>
                <w:rFonts w:ascii="Times New Roman" w:hAnsi="Times New Roman"/>
              </w:rPr>
              <w:t>14</w:t>
            </w:r>
          </w:p>
        </w:tc>
        <w:tc>
          <w:tcPr>
            <w:tcW w:w="6676" w:type="dxa"/>
            <w:tcBorders>
              <w:start w:val="single" w:sz="4" w:space="0" w:color="000000"/>
              <w:bottom w:val="single" w:sz="4" w:space="0" w:color="000000"/>
            </w:tcBorders>
          </w:tcPr>
          <w:p>
            <w:pPr>
              <w:pStyle w:val="Normal"/>
              <w:tabs>
                <w:tab w:val="clear" w:pos="709"/>
              </w:tabs>
              <w:jc w:val="start"/>
              <w:rPr>
                <w:rFonts w:ascii="Times New Roman" w:hAnsi="Times New Roman"/>
              </w:rPr>
            </w:pPr>
            <w:r>
              <w:rPr>
                <w:rFonts w:ascii="Times New Roman" w:hAnsi="Times New Roman"/>
              </w:rPr>
              <w:t>Керівництво</w:t>
            </w:r>
          </w:p>
        </w:tc>
        <w:tc>
          <w:tcPr>
            <w:tcW w:w="888"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0</w:t>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615" w:hRule="atLeast"/>
        </w:trPr>
        <w:tc>
          <w:tcPr>
            <w:tcW w:w="426"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15</w:t>
            </w:r>
          </w:p>
        </w:tc>
        <w:tc>
          <w:tcPr>
            <w:tcW w:w="6676" w:type="dxa"/>
            <w:tcBorders>
              <w:start w:val="single" w:sz="4" w:space="0" w:color="000000"/>
              <w:bottom w:val="single" w:sz="4" w:space="0" w:color="000000"/>
            </w:tcBorders>
          </w:tcPr>
          <w:p>
            <w:pPr>
              <w:pStyle w:val="Normal"/>
              <w:tabs>
                <w:tab w:val="clear" w:pos="709"/>
              </w:tabs>
              <w:jc w:val="start"/>
              <w:rPr>
                <w:rFonts w:ascii="Times New Roman" w:hAnsi="Times New Roman"/>
              </w:rPr>
            </w:pPr>
            <w:r>
              <w:rPr>
                <w:rFonts w:ascii="Times New Roman" w:hAnsi="Times New Roman"/>
              </w:rPr>
              <w:t>Централізована бухгалтерія закладів культури (орендоване приміщення загальною площею 52,2 м2)</w:t>
            </w:r>
          </w:p>
        </w:tc>
        <w:tc>
          <w:tcPr>
            <w:tcW w:w="888"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t>1</w:t>
            </w:r>
          </w:p>
        </w:tc>
        <w:tc>
          <w:tcPr>
            <w:tcW w:w="87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840"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142"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3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1395" w:type="dxa"/>
            <w:tcBorders>
              <w:start w:val="single" w:sz="4" w:space="0" w:color="000000"/>
              <w:bottom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c>
          <w:tcPr>
            <w:tcW w:w="904" w:type="dxa"/>
            <w:tcBorders>
              <w:start w:val="single" w:sz="4" w:space="0" w:color="000000"/>
              <w:bottom w:val="single" w:sz="4" w:space="0" w:color="000000"/>
              <w:end w:val="single" w:sz="4" w:space="0" w:color="000000"/>
            </w:tcBorders>
            <w:vAlign w:val="center"/>
          </w:tcPr>
          <w:p>
            <w:pPr>
              <w:pStyle w:val="Normal"/>
              <w:tabs>
                <w:tab w:val="clear" w:pos="709"/>
              </w:tabs>
              <w:jc w:val="center"/>
              <w:rPr>
                <w:rFonts w:ascii="Times New Roman" w:hAnsi="Times New Roman"/>
              </w:rPr>
            </w:pPr>
            <w:r>
              <w:rPr>
                <w:rFonts w:ascii="Times New Roman" w:hAnsi="Times New Roman"/>
              </w:rPr>
            </w:r>
          </w:p>
        </w:tc>
      </w:tr>
      <w:tr>
        <w:trPr>
          <w:trHeight w:val="300" w:hRule="atLeast"/>
        </w:trPr>
        <w:tc>
          <w:tcPr>
            <w:tcW w:w="426" w:type="dxa"/>
            <w:tcBorders>
              <w:start w:val="single" w:sz="4" w:space="0" w:color="000000"/>
              <w:bottom w:val="single" w:sz="4" w:space="0" w:color="000000"/>
            </w:tcBorders>
            <w:vAlign w:val="bottom"/>
          </w:tcPr>
          <w:p>
            <w:pPr>
              <w:pStyle w:val="Normal"/>
              <w:tabs>
                <w:tab w:val="clear" w:pos="709"/>
              </w:tabs>
              <w:jc w:val="start"/>
              <w:rPr>
                <w:rFonts w:ascii="Times New Roman" w:hAnsi="Times New Roman"/>
              </w:rPr>
            </w:pPr>
            <w:r>
              <w:rPr/>
            </w:r>
          </w:p>
        </w:tc>
        <w:tc>
          <w:tcPr>
            <w:tcW w:w="6676" w:type="dxa"/>
            <w:tcBorders>
              <w:start w:val="single" w:sz="4" w:space="0" w:color="000000"/>
              <w:bottom w:val="single" w:sz="4" w:space="0" w:color="000000"/>
            </w:tcBorders>
            <w:vAlign w:val="bottom"/>
          </w:tcPr>
          <w:p>
            <w:pPr>
              <w:pStyle w:val="Normal"/>
              <w:tabs>
                <w:tab w:val="clear" w:pos="709"/>
              </w:tabs>
              <w:jc w:val="start"/>
              <w:rPr/>
            </w:pPr>
            <w:r>
              <w:rPr/>
              <w:t>ВСЬОГО</w:t>
            </w:r>
          </w:p>
        </w:tc>
        <w:tc>
          <w:tcPr>
            <w:tcW w:w="888"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14</w:t>
            </w:r>
          </w:p>
        </w:tc>
        <w:tc>
          <w:tcPr>
            <w:tcW w:w="87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5</w:t>
            </w:r>
          </w:p>
        </w:tc>
        <w:tc>
          <w:tcPr>
            <w:tcW w:w="840"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5</w:t>
            </w:r>
          </w:p>
        </w:tc>
        <w:tc>
          <w:tcPr>
            <w:tcW w:w="1142"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2</w:t>
            </w:r>
          </w:p>
        </w:tc>
        <w:tc>
          <w:tcPr>
            <w:tcW w:w="93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3696,2</w:t>
            </w:r>
          </w:p>
        </w:tc>
        <w:tc>
          <w:tcPr>
            <w:tcW w:w="1395" w:type="dxa"/>
            <w:tcBorders>
              <w:start w:val="single" w:sz="4" w:space="0" w:color="000000"/>
              <w:bottom w:val="single" w:sz="4" w:space="0" w:color="000000"/>
            </w:tcBorders>
            <w:vAlign w:val="bottom"/>
          </w:tcPr>
          <w:p>
            <w:pPr>
              <w:pStyle w:val="Normal"/>
              <w:tabs>
                <w:tab w:val="clear" w:pos="709"/>
              </w:tabs>
              <w:jc w:val="center"/>
              <w:rPr>
                <w:rFonts w:ascii="Times New Roman" w:hAnsi="Times New Roman"/>
                <w:b/>
              </w:rPr>
            </w:pPr>
            <w:r>
              <w:rPr>
                <w:rFonts w:ascii="Times New Roman" w:hAnsi="Times New Roman"/>
                <w:b/>
              </w:rPr>
              <w:t>1594,52</w:t>
            </w:r>
          </w:p>
        </w:tc>
        <w:tc>
          <w:tcPr>
            <w:tcW w:w="904" w:type="dxa"/>
            <w:tcBorders>
              <w:start w:val="single" w:sz="4" w:space="0" w:color="000000"/>
              <w:bottom w:val="single" w:sz="4" w:space="0" w:color="000000"/>
              <w:end w:val="single" w:sz="4" w:space="0" w:color="000000"/>
            </w:tcBorders>
            <w:vAlign w:val="bottom"/>
          </w:tcPr>
          <w:p>
            <w:pPr>
              <w:pStyle w:val="Normal"/>
              <w:tabs>
                <w:tab w:val="clear" w:pos="709"/>
              </w:tabs>
              <w:jc w:val="center"/>
              <w:rPr>
                <w:rFonts w:ascii="Times New Roman" w:hAnsi="Times New Roman"/>
              </w:rPr>
            </w:pPr>
            <w:r>
              <w:rPr>
                <w:rFonts w:ascii="Times New Roman" w:hAnsi="Times New Roman"/>
              </w:rPr>
            </w:r>
          </w:p>
        </w:tc>
      </w:tr>
    </w:tbl>
    <w:p>
      <w:pPr>
        <w:pStyle w:val="Normal"/>
        <w:rPr/>
      </w:pPr>
      <w:r>
        <w:rPr/>
      </w:r>
    </w:p>
    <w:p>
      <w:pPr>
        <w:pStyle w:val="Normal"/>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BodyText"/>
        <w:widowControl/>
        <w:pBdr/>
        <w:spacing w:before="0" w:after="150"/>
        <w:ind w:firstLine="450" w:start="0" w:end="0"/>
        <w:jc w:val="center"/>
        <w:rPr>
          <w:color w:val="000000"/>
        </w:rPr>
        <w:sectPr>
          <w:headerReference w:type="default" r:id="rId44"/>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r>
    </w:p>
    <w:p>
      <w:pPr>
        <w:pStyle w:val="Normal"/>
        <w:spacing w:lineRule="auto" w:line="259" w:before="0" w:after="0"/>
        <w:jc w:val="end"/>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2</w:t>
      </w:r>
      <w:r>
        <w:rPr>
          <w:rFonts w:eastAsia="Century Gothic" w:cs="Century Gothic" w:ascii="Times New Roman" w:hAnsi="Times New Roman"/>
          <w:kern w:val="0"/>
          <w:sz w:val="24"/>
          <w:szCs w:val="24"/>
          <w:lang w:eastAsia="uk-UA"/>
        </w:rPr>
        <w:t xml:space="preserve">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Обсяги споживання енергоресурсів</w:t>
      </w:r>
    </w:p>
    <w:tbl>
      <w:tblPr>
        <w:tblW w:w="9408" w:type="dxa"/>
        <w:jc w:val="start"/>
        <w:tblInd w:w="4" w:type="dxa"/>
        <w:tblLayout w:type="fixed"/>
        <w:tblCellMar>
          <w:top w:w="55" w:type="dxa"/>
          <w:start w:w="55" w:type="dxa"/>
          <w:bottom w:w="55" w:type="dxa"/>
          <w:end w:w="55" w:type="dxa"/>
        </w:tblCellMar>
      </w:tblPr>
      <w:tblGrid>
        <w:gridCol w:w="1935"/>
        <w:gridCol w:w="1860"/>
        <w:gridCol w:w="1980"/>
        <w:gridCol w:w="2040"/>
        <w:gridCol w:w="1593"/>
      </w:tblGrid>
      <w:tr>
        <w:trPr>
          <w:trHeight w:val="26" w:hRule="atLeast"/>
        </w:trPr>
        <w:tc>
          <w:tcPr>
            <w:tcW w:w="193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860"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613"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1935" w:type="dxa"/>
            <w:vMerge w:val="continue"/>
            <w:tcBorders>
              <w:top w:val="single" w:sz="4" w:space="0" w:color="000000"/>
              <w:start w:val="single" w:sz="4" w:space="0" w:color="000000"/>
              <w:bottom w:val="single" w:sz="4" w:space="0" w:color="000000"/>
            </w:tcBorders>
          </w:tcPr>
          <w:p>
            <w:pPr>
              <w:pStyle w:val="Normal"/>
              <w:rPr/>
            </w:pPr>
            <w:r>
              <w:rPr/>
            </w:r>
          </w:p>
        </w:tc>
        <w:tc>
          <w:tcPr>
            <w:tcW w:w="1860"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204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593"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Електроенергія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МВт*год</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35,5</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7,2</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26,3</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Природний газ</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тис.м</w:t>
            </w:r>
            <w:r>
              <w:rPr>
                <w:rFonts w:eastAsia="Times New Roman" w:cs="Times New Roman" w:ascii="Times New Roman" w:hAnsi="Times New Roman"/>
                <w:b/>
                <w:bCs/>
                <w:sz w:val="24"/>
                <w:szCs w:val="24"/>
              </w:rPr>
              <w:t>³</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1,2</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1,2</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1,5</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Теплова енергія на опалення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Гкал</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215,4</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213,6</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237,0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Дрова</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Вугілля</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Тонна</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Бензин</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r>
        <w:trPr>
          <w:trHeight w:val="26" w:hRule="atLeast"/>
        </w:trPr>
        <w:tc>
          <w:tcPr>
            <w:tcW w:w="1935"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Дизель</w:t>
            </w:r>
          </w:p>
        </w:tc>
        <w:tc>
          <w:tcPr>
            <w:tcW w:w="1860" w:type="dxa"/>
            <w:tcBorders>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тис. л</w:t>
            </w:r>
          </w:p>
        </w:tc>
        <w:tc>
          <w:tcPr>
            <w:tcW w:w="198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2040" w:type="dxa"/>
            <w:tcBorders>
              <w:start w:val="single" w:sz="4" w:space="0" w:color="000000"/>
              <w:bottom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c>
          <w:tcPr>
            <w:tcW w:w="1593" w:type="dxa"/>
            <w:tcBorders>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rPr>
            </w:pPr>
            <w:r>
              <w:rPr>
                <w:rFonts w:ascii="Times New Roman" w:hAnsi="Times New Roman"/>
              </w:rPr>
              <w:t>0</w:t>
            </w:r>
          </w:p>
        </w:tc>
      </w:tr>
    </w:tbl>
    <w:p>
      <w:pPr>
        <w:pStyle w:val="Normal"/>
        <w:spacing w:before="0" w:after="0"/>
        <w:jc w:val="end"/>
        <w:rPr>
          <w:rFonts w:ascii="Times New Roman" w:hAnsi="Times New Roman" w:cs="Times New Roman"/>
          <w:color w:val="000000"/>
          <w:sz w:val="22"/>
          <w:szCs w:val="22"/>
        </w:rPr>
      </w:pPr>
      <w:r>
        <w:rPr>
          <w:rFonts w:ascii="Times New Roman" w:hAnsi="Times New Roman"/>
        </w:rPr>
      </w:r>
    </w:p>
    <w:p>
      <w:pPr>
        <w:pStyle w:val="Normal"/>
        <w:spacing w:lineRule="auto" w:line="264" w:before="0" w:after="0"/>
        <w:jc w:val="end"/>
        <w:rPr>
          <w:rFonts w:ascii="Times New Roman" w:hAnsi="Times New Roman" w:cs="Times New Roman"/>
          <w:sz w:val="24"/>
          <w:szCs w:val="24"/>
        </w:rPr>
      </w:pPr>
      <w:r>
        <w:rPr>
          <w:rFonts w:cs="Times New Roman" w:ascii="Times New Roman" w:hAnsi="Times New Roman"/>
          <w:sz w:val="24"/>
          <w:szCs w:val="24"/>
        </w:rPr>
        <w:t xml:space="preserve">Таблиця </w:t>
      </w:r>
      <w:r>
        <w:rPr>
          <w:rFonts w:cs="Times New Roman" w:ascii="Times New Roman" w:hAnsi="Times New Roman"/>
          <w:sz w:val="24"/>
          <w:szCs w:val="24"/>
        </w:rPr>
        <w:t>3</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Тарифи на комунальні послуги</w:t>
      </w:r>
    </w:p>
    <w:tbl>
      <w:tblPr>
        <w:tblW w:w="9662" w:type="dxa"/>
        <w:jc w:val="start"/>
        <w:tblInd w:w="54" w:type="dxa"/>
        <w:tblLayout w:type="fixed"/>
        <w:tblCellMar>
          <w:top w:w="0" w:type="dxa"/>
          <w:start w:w="54" w:type="dxa"/>
          <w:bottom w:w="0" w:type="dxa"/>
          <w:end w:w="54" w:type="dxa"/>
        </w:tblCellMar>
      </w:tblPr>
      <w:tblGrid>
        <w:gridCol w:w="2773"/>
        <w:gridCol w:w="1638"/>
        <w:gridCol w:w="1927"/>
        <w:gridCol w:w="1600"/>
        <w:gridCol w:w="1724"/>
      </w:tblGrid>
      <w:tr>
        <w:trPr>
          <w:trHeight w:val="26" w:hRule="atLeast"/>
        </w:trPr>
        <w:tc>
          <w:tcPr>
            <w:tcW w:w="2773"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Од. вим.</w:t>
            </w:r>
          </w:p>
        </w:tc>
        <w:tc>
          <w:tcPr>
            <w:tcW w:w="525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Роки</w:t>
            </w:r>
          </w:p>
        </w:tc>
      </w:tr>
      <w:tr>
        <w:trPr>
          <w:trHeight w:val="26" w:hRule="atLeast"/>
        </w:trPr>
        <w:tc>
          <w:tcPr>
            <w:tcW w:w="2773"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7"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lang w:val="en-US"/>
              </w:rPr>
              <w:t>2024</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МВт*год</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6,10</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6,36</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9,26</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тис.м3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18065,96</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18065,89</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18065,89</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Гкал</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3523,23</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4082,7</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5771,49</w:t>
            </w:r>
          </w:p>
        </w:tc>
      </w:tr>
      <w:tr>
        <w:trPr>
          <w:trHeight w:val="330"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21,40</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21,40</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21,40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15,40</w:t>
            </w:r>
          </w:p>
        </w:tc>
      </w:tr>
      <w:tr>
        <w:trPr>
          <w:trHeight w:val="26" w:hRule="atLeast"/>
        </w:trPr>
        <w:tc>
          <w:tcPr>
            <w:tcW w:w="2773"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ru-RU"/>
              </w:rPr>
            </w:pPr>
            <w:r>
              <w:rPr>
                <w:rFonts w:cs="Times New Roman" w:ascii="Times New Roman" w:hAnsi="Times New Roman"/>
                <w:b/>
                <w:bCs/>
                <w:sz w:val="24"/>
                <w:szCs w:val="24"/>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before="0" w:after="0"/>
              <w:jc w:val="center"/>
              <w:rPr>
                <w:rFonts w:ascii="Calibri" w:hAnsi="Calibri" w:cs="Calibri"/>
                <w:lang w:val="en-US"/>
              </w:rPr>
            </w:pPr>
            <w:r>
              <w:rPr>
                <w:rFonts w:cs="Times New Roman" w:ascii="Times New Roman" w:hAnsi="Times New Roman"/>
                <w:b/>
                <w:bCs/>
                <w:sz w:val="24"/>
                <w:szCs w:val="24"/>
              </w:rPr>
              <w:t>м3</w:t>
            </w:r>
          </w:p>
        </w:tc>
        <w:tc>
          <w:tcPr>
            <w:tcW w:w="1927"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233,84</w:t>
            </w:r>
          </w:p>
        </w:tc>
        <w:tc>
          <w:tcPr>
            <w:tcW w:w="1600" w:type="dxa"/>
            <w:tcBorders>
              <w:top w:val="single" w:sz="2" w:space="0" w:color="000000"/>
              <w:start w:val="single" w:sz="4" w:space="0" w:color="000000"/>
              <w:bottom w:val="single" w:sz="4" w:space="0" w:color="000000"/>
              <w:end w:val="single" w:sz="2"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239,99</w:t>
            </w:r>
          </w:p>
        </w:tc>
        <w:tc>
          <w:tcPr>
            <w:tcW w:w="1724" w:type="dxa"/>
            <w:tcBorders>
              <w:top w:val="single" w:sz="2" w:space="0" w:color="000000"/>
              <w:start w:val="single" w:sz="4" w:space="0" w:color="000000"/>
              <w:bottom w:val="single" w:sz="4" w:space="0" w:color="000000"/>
              <w:end w:val="single" w:sz="4" w:space="0" w:color="000000"/>
            </w:tcBorders>
          </w:tcPr>
          <w:p>
            <w:pPr>
              <w:pStyle w:val="Normal"/>
              <w:tabs>
                <w:tab w:val="clear" w:pos="709"/>
              </w:tabs>
              <w:jc w:val="center"/>
              <w:rPr>
                <w:rFonts w:ascii="Times New Roman" w:hAnsi="Times New Roman"/>
                <w:b w:val="false"/>
                <w:bCs w:val="false"/>
              </w:rPr>
            </w:pPr>
            <w:r>
              <w:rPr>
                <w:rFonts w:ascii="Times New Roman" w:hAnsi="Times New Roman"/>
                <w:b w:val="false"/>
                <w:bCs w:val="false"/>
              </w:rPr>
              <w:t>249,72</w:t>
            </w:r>
          </w:p>
        </w:tc>
      </w:tr>
    </w:tbl>
    <w:p>
      <w:pPr>
        <w:pStyle w:val="Normal"/>
        <w:spacing w:lineRule="auto" w:line="240" w:before="0" w:after="0"/>
        <w:jc w:val="end"/>
        <w:rPr>
          <w:rFonts w:ascii="Calibri" w:hAnsi="Calibri" w:cs="Calibri"/>
          <w:lang w:val="en-US"/>
        </w:rPr>
      </w:pPr>
      <w:r>
        <w:rPr>
          <w:rFonts w:cs="Calibri" w:ascii="Calibri" w:hAnsi="Calibri"/>
          <w:lang w:val="en-US"/>
        </w:rPr>
      </w:r>
    </w:p>
    <w:p>
      <w:pPr>
        <w:pStyle w:val="Normal"/>
        <w:spacing w:lineRule="auto" w:line="264" w:before="0" w:after="0"/>
        <w:jc w:val="end"/>
        <w:rPr>
          <w:rFonts w:ascii="Times New Roman" w:hAnsi="Times New Roman" w:cs="Times New Roman"/>
          <w:sz w:val="24"/>
          <w:szCs w:val="24"/>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pPr>
      <w:r>
        <w:rPr/>
      </w:r>
    </w:p>
    <w:p>
      <w:pPr>
        <w:pStyle w:val="Normal"/>
        <w:spacing w:lineRule="auto" w:line="259" w:before="0" w:after="0"/>
        <w:jc w:val="end"/>
        <w:rPr>
          <w:rFonts w:ascii="Times New Roman" w:hAnsi="Times New Roman" w:eastAsia="Century Gothic" w:cs="Century Gothic"/>
          <w:kern w:val="0"/>
          <w:sz w:val="22"/>
          <w:szCs w:val="22"/>
          <w:lang w:eastAsia="uk-UA"/>
        </w:rPr>
        <w:sectPr>
          <w:headerReference w:type="default" r:id="rId45"/>
          <w:headerReference w:type="first" r:id="rId46"/>
          <w:type w:val="nextPage"/>
          <w:pgSz w:w="11906" w:h="16838"/>
          <w:pgMar w:left="1701" w:right="850" w:gutter="0" w:header="0" w:top="1134" w:footer="0" w:bottom="1701"/>
          <w:pgNumType w:fmt="decimal"/>
          <w:formProt w:val="false"/>
          <w:textDirection w:val="lrTb"/>
          <w:docGrid w:type="default" w:linePitch="312" w:charSpace="4294961151"/>
        </w:sectPr>
      </w:pPr>
      <w:r>
        <w:rPr/>
      </w:r>
    </w:p>
    <w:p>
      <w:pPr>
        <w:pStyle w:val="Normal"/>
        <w:spacing w:lineRule="auto" w:line="259" w:before="0" w:after="0"/>
        <w:jc w:val="end"/>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4</w:t>
      </w:r>
      <w:r>
        <w:rPr>
          <w:rFonts w:eastAsia="Century Gothic" w:cs="Century Gothic" w:ascii="Times New Roman" w:hAnsi="Times New Roman"/>
          <w:kern w:val="0"/>
          <w:sz w:val="22"/>
          <w:szCs w:val="22"/>
          <w:lang w:eastAsia="uk-UA"/>
        </w:rPr>
        <w:t xml:space="preserve"> </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tbl>
      <w:tblPr>
        <w:tblW w:w="14519" w:type="dxa"/>
        <w:jc w:val="end"/>
        <w:tblInd w:w="0" w:type="dxa"/>
        <w:tblLayout w:type="fixed"/>
        <w:tblCellMar>
          <w:top w:w="55" w:type="dxa"/>
          <w:start w:w="55" w:type="dxa"/>
          <w:bottom w:w="55" w:type="dxa"/>
          <w:end w:w="55" w:type="dxa"/>
        </w:tblCellMar>
      </w:tblPr>
      <w:tblGrid>
        <w:gridCol w:w="1095"/>
        <w:gridCol w:w="1530"/>
        <w:gridCol w:w="1185"/>
        <w:gridCol w:w="570"/>
        <w:gridCol w:w="615"/>
        <w:gridCol w:w="855"/>
        <w:gridCol w:w="960"/>
        <w:gridCol w:w="1140"/>
        <w:gridCol w:w="855"/>
        <w:gridCol w:w="1815"/>
        <w:gridCol w:w="900"/>
        <w:gridCol w:w="975"/>
        <w:gridCol w:w="1245"/>
        <w:gridCol w:w="779"/>
      </w:tblGrid>
      <w:tr>
        <w:trPr/>
        <w:tc>
          <w:tcPr>
            <w:tcW w:w="109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Назва об'єкту</w:t>
            </w:r>
          </w:p>
        </w:tc>
        <w:tc>
          <w:tcPr>
            <w:tcW w:w="153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Адреса будівлі</w:t>
            </w:r>
          </w:p>
        </w:tc>
        <w:tc>
          <w:tcPr>
            <w:tcW w:w="118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Функціональне призначення</w:t>
            </w:r>
          </w:p>
        </w:tc>
        <w:tc>
          <w:tcPr>
            <w:tcW w:w="57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Рік прийняття в експлуатацію</w:t>
            </w:r>
          </w:p>
        </w:tc>
        <w:tc>
          <w:tcPr>
            <w:tcW w:w="6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 поверхів</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Загальна площа будівлі, м2;</w:t>
            </w:r>
          </w:p>
        </w:tc>
        <w:tc>
          <w:tcPr>
            <w:tcW w:w="96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Опалю-вальна/охолоджувальна площа будівлі (м2)</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Інформація щодо джерела тепло-</w:t>
            </w:r>
          </w:p>
          <w:p>
            <w:pPr>
              <w:pStyle w:val="Style20"/>
              <w:jc w:val="center"/>
              <w:rPr>
                <w:rFonts w:ascii="Times New Roman" w:hAnsi="Times New Roman"/>
                <w:b/>
                <w:bCs/>
                <w:sz w:val="20"/>
                <w:szCs w:val="20"/>
              </w:rPr>
            </w:pPr>
            <w:r>
              <w:rPr>
                <w:rFonts w:ascii="Times New Roman" w:hAnsi="Times New Roman"/>
                <w:b/>
                <w:bCs/>
                <w:sz w:val="20"/>
                <w:szCs w:val="20"/>
              </w:rPr>
              <w:t>постачання</w:t>
            </w:r>
          </w:p>
        </w:tc>
        <w:tc>
          <w:tcPr>
            <w:tcW w:w="8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Інформація щодо джерела постачання гарячої води</w:t>
            </w:r>
          </w:p>
        </w:tc>
        <w:tc>
          <w:tcPr>
            <w:tcW w:w="18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Інформація щодо джерела </w:t>
            </w:r>
            <w:r>
              <w:rPr>
                <w:rFonts w:ascii="Times New Roman" w:hAnsi="Times New Roman"/>
                <w:b/>
                <w:bCs/>
                <w:sz w:val="20"/>
                <w:szCs w:val="20"/>
              </w:rPr>
              <w:t>водопос-тачання</w:t>
            </w:r>
          </w:p>
        </w:tc>
        <w:tc>
          <w:tcPr>
            <w:tcW w:w="9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Інформація щодо джерела постачання </w:t>
            </w:r>
            <w:r>
              <w:rPr>
                <w:rFonts w:ascii="Times New Roman" w:hAnsi="Times New Roman"/>
                <w:b/>
                <w:bCs/>
                <w:sz w:val="20"/>
                <w:szCs w:val="20"/>
              </w:rPr>
              <w:t>газа</w:t>
            </w:r>
          </w:p>
        </w:tc>
        <w:tc>
          <w:tcPr>
            <w:tcW w:w="97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Інформація щодо встанов-леної потуж-ності тепло-генеруючої установки (котлів), кВт</w:t>
            </w:r>
          </w:p>
        </w:tc>
        <w:tc>
          <w:tcPr>
            <w:tcW w:w="124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 xml:space="preserve"> </w:t>
            </w:r>
            <w:r>
              <w:rPr>
                <w:rFonts w:ascii="Times New Roman" w:hAnsi="Times New Roman"/>
                <w:b/>
                <w:bCs/>
                <w:sz w:val="20"/>
                <w:szCs w:val="20"/>
              </w:rPr>
              <w:t>Інформація щодо джерела постачання електричної енергії</w:t>
            </w:r>
          </w:p>
        </w:tc>
        <w:tc>
          <w:tcPr>
            <w:tcW w:w="77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Розрахункове електричне навантаження кВт (відповідно до договорів)</w:t>
            </w:r>
          </w:p>
        </w:tc>
      </w:tr>
      <w:tr>
        <w:trPr/>
        <w:tc>
          <w:tcPr>
            <w:tcW w:w="14519"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eastAsia="Century Gothic" w:cs="Century Gothic" w:ascii="Times New Roman" w:hAnsi="Times New Roman"/>
                <w:b w:val="false"/>
                <w:bCs/>
                <w:i w:val="false"/>
                <w:caps w:val="false"/>
                <w:smallCaps w:val="false"/>
                <w:color w:val="000000"/>
                <w:spacing w:val="0"/>
                <w:kern w:val="0"/>
                <w:sz w:val="20"/>
                <w:szCs w:val="20"/>
                <w:shd w:fill="auto" w:val="clear"/>
                <w:lang w:eastAsia="uk-UA"/>
              </w:rPr>
              <w:t xml:space="preserve">Балансоутримувач: </w:t>
            </w:r>
            <w:r>
              <w:rPr>
                <w:rFonts w:eastAsia="Century Gothic" w:cs="Century Gothic" w:ascii="Times New Roman" w:hAnsi="Times New Roman"/>
                <w:b w:val="false"/>
                <w:bCs/>
                <w:i w:val="false"/>
                <w:caps w:val="false"/>
                <w:smallCaps w:val="false"/>
                <w:color w:val="000000"/>
                <w:spacing w:val="0"/>
                <w:kern w:val="0"/>
                <w:sz w:val="20"/>
                <w:szCs w:val="20"/>
                <w:shd w:fill="auto" w:val="clear"/>
                <w:lang w:eastAsia="uk-UA"/>
              </w:rPr>
              <w:t>В</w:t>
            </w:r>
            <w:r>
              <w:rPr>
                <w:rFonts w:eastAsia="Century Gothic" w:cs="Century Gothic" w:ascii="Times New Roman" w:hAnsi="Times New Roman"/>
                <w:b w:val="false"/>
                <w:bCs/>
                <w:i w:val="false"/>
                <w:caps w:val="false"/>
                <w:smallCaps w:val="false"/>
                <w:color w:val="000000"/>
                <w:spacing w:val="0"/>
                <w:kern w:val="0"/>
                <w:sz w:val="20"/>
                <w:szCs w:val="20"/>
                <w:shd w:fill="auto" w:val="clear"/>
                <w:lang w:eastAsia="uk-UA"/>
              </w:rPr>
              <w:t>ідділ культури, туризму, національностей і релігій виконавчого комітету Покровської міської ради Дніпропетровської області</w:t>
            </w:r>
          </w:p>
        </w:tc>
      </w:tr>
      <w:tr>
        <w:trPr/>
        <w:tc>
          <w:tcPr>
            <w:tcW w:w="109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Покровська школа мистецтв "Арт-мюзік"</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 Покров , вул. Середи Г., 9</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Надання початкової музичної, хореографічної освіти, з образотворчого мистецтва.</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1961</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1308,2</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1247,52</w:t>
            </w:r>
          </w:p>
        </w:tc>
        <w:tc>
          <w:tcPr>
            <w:tcW w:w="114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ТОВ "Укртех-ресурс"</w:t>
            </w:r>
          </w:p>
          <w:p>
            <w:pPr>
              <w:pStyle w:val="Normal"/>
              <w:jc w:val="center"/>
              <w:rPr>
                <w:rFonts w:ascii="Times New Roman" w:hAnsi="Times New Roman"/>
                <w:sz w:val="20"/>
                <w:szCs w:val="20"/>
              </w:rPr>
            </w:pPr>
            <w:r>
              <w:rPr>
                <w:rFonts w:ascii="Times New Roman" w:hAnsi="Times New Roman"/>
                <w:sz w:val="20"/>
                <w:szCs w:val="20"/>
              </w:rPr>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Міське комунальне підприємство "Покровське виробниче управління водопровідно-каналізаційного господарства"</w:t>
            </w:r>
          </w:p>
          <w:p>
            <w:pPr>
              <w:pStyle w:val="Normal"/>
              <w:jc w:val="center"/>
              <w:rPr>
                <w:rFonts w:ascii="Times New Roman" w:hAnsi="Times New Roman"/>
                <w:sz w:val="20"/>
                <w:szCs w:val="20"/>
              </w:rPr>
            </w:pPr>
            <w:r>
              <w:rPr>
                <w:rFonts w:ascii="Times New Roman" w:hAnsi="Times New Roman"/>
                <w:sz w:val="20"/>
                <w:szCs w:val="20"/>
              </w:rPr>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4012</w:t>
            </w:r>
          </w:p>
        </w:tc>
      </w:tr>
      <w:tr>
        <w:trPr/>
        <w:tc>
          <w:tcPr>
            <w:tcW w:w="109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Клуб селища Перевізькі Хутори м.Покров</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с.Перевізькі Хутори, вул. Перевізна, 48</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1953</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445,4</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Газове опалення</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Міське комунальне підприємство "Покровське виробниче управління водопровідно-каналізаційного господарства"</w:t>
            </w:r>
          </w:p>
        </w:tc>
        <w:tc>
          <w:tcPr>
            <w:tcW w:w="90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ТОВ "Газопостачальна компанія "Нафтогаз Трейдінг"</w:t>
            </w:r>
          </w:p>
          <w:p>
            <w:pPr>
              <w:pStyle w:val="Normal"/>
              <w:jc w:val="center"/>
              <w:rPr>
                <w:rFonts w:ascii="Times New Roman" w:hAnsi="Times New Roman"/>
                <w:sz w:val="20"/>
                <w:szCs w:val="20"/>
              </w:rPr>
            </w:pPr>
            <w:r>
              <w:rPr>
                <w:rFonts w:ascii="Times New Roman" w:hAnsi="Times New Roman"/>
                <w:sz w:val="20"/>
                <w:szCs w:val="20"/>
              </w:rPr>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29,8</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4197</w:t>
            </w:r>
          </w:p>
        </w:tc>
      </w:tr>
      <w:tr>
        <w:trPr/>
        <w:tc>
          <w:tcPr>
            <w:tcW w:w="109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Комунальний базовий клубний заклад "Шолоховський сільський будинок культури ПМР ДО з філіями"</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 Шолохове , вул. Центральна, 5</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1971</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867</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Міське комунальне підприємство "Покровське виробниче управління водопровідно-каналізаційного господарства"</w:t>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2356</w:t>
            </w:r>
          </w:p>
        </w:tc>
      </w:tr>
      <w:tr>
        <w:trPr/>
        <w:tc>
          <w:tcPr>
            <w:tcW w:w="109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Філія № 1 "Базавлуцький сільський клуб"</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 Базавлук, вул. Козацька, 1 А</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509,1</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1062</w:t>
            </w:r>
          </w:p>
        </w:tc>
      </w:tr>
      <w:tr>
        <w:trPr/>
        <w:tc>
          <w:tcPr>
            <w:tcW w:w="109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Філія № 2 "Миронівський сільський клуб"</w:t>
            </w:r>
          </w:p>
          <w:p>
            <w:pPr>
              <w:pStyle w:val="Normal"/>
              <w:jc w:val="center"/>
              <w:rPr>
                <w:rFonts w:ascii="Times New Roman" w:hAnsi="Times New Roman"/>
                <w:sz w:val="20"/>
                <w:szCs w:val="20"/>
              </w:rPr>
            </w:pPr>
            <w:r>
              <w:rPr>
                <w:rFonts w:ascii="Times New Roman" w:hAnsi="Times New Roman"/>
                <w:sz w:val="20"/>
                <w:szCs w:val="20"/>
              </w:rPr>
            </w:r>
          </w:p>
        </w:tc>
        <w:tc>
          <w:tcPr>
            <w:tcW w:w="1530"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с. Миронівка, пров. Шкільний, 1 А</w:t>
            </w:r>
          </w:p>
          <w:p>
            <w:pPr>
              <w:pStyle w:val="Normal"/>
              <w:jc w:val="center"/>
              <w:rPr>
                <w:rFonts w:ascii="Times New Roman" w:hAnsi="Times New Roman"/>
                <w:sz w:val="20"/>
                <w:szCs w:val="20"/>
              </w:rPr>
            </w:pPr>
            <w:r>
              <w:rPr>
                <w:rFonts w:ascii="Times New Roman" w:hAnsi="Times New Roman"/>
                <w:sz w:val="20"/>
                <w:szCs w:val="20"/>
              </w:rPr>
            </w:r>
          </w:p>
        </w:tc>
        <w:tc>
          <w:tcPr>
            <w:tcW w:w="1185" w:type="dxa"/>
            <w:tcBorders>
              <w:start w:val="single" w:sz="4" w:space="0" w:color="000000"/>
              <w:bottom w:val="single" w:sz="4" w:space="0" w:color="000000"/>
            </w:tcBorders>
          </w:tcPr>
          <w:p>
            <w:pPr>
              <w:pStyle w:val="Normal"/>
              <w:bidi w:val="0"/>
              <w:jc w:val="start"/>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Організація діяльності творчих колективів, гуртків, розвиток аматорської народної творчості, духовного потенціалу</w:t>
            </w:r>
          </w:p>
          <w:p>
            <w:pPr>
              <w:pStyle w:val="Normal"/>
              <w:jc w:val="center"/>
              <w:rPr>
                <w:rFonts w:ascii="Times New Roman" w:hAnsi="Times New Roman"/>
                <w:sz w:val="20"/>
                <w:szCs w:val="20"/>
              </w:rPr>
            </w:pPr>
            <w:r>
              <w:rPr>
                <w:rFonts w:ascii="Times New Roman" w:hAnsi="Times New Roman"/>
                <w:sz w:val="20"/>
                <w:szCs w:val="20"/>
              </w:rPr>
            </w:r>
          </w:p>
        </w:tc>
        <w:tc>
          <w:tcPr>
            <w:tcW w:w="57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6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566,5</w:t>
            </w:r>
          </w:p>
        </w:tc>
        <w:tc>
          <w:tcPr>
            <w:tcW w:w="96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14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85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8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97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45" w:type="dxa"/>
            <w:tcBorders>
              <w:start w:val="single" w:sz="4" w:space="0" w:color="000000"/>
              <w:bottom w:val="single" w:sz="4" w:space="0" w:color="000000"/>
            </w:tcBorders>
          </w:tcPr>
          <w:p>
            <w:pPr>
              <w:pStyle w:val="Normal"/>
              <w:bidi w:val="0"/>
              <w:jc w:val="center"/>
              <w:rPr>
                <w:rFonts w:ascii="Calibri" w:hAnsi="Calibri"/>
                <w:b w:val="false"/>
                <w:i w:val="false"/>
                <w:strike w:val="false"/>
                <w:dstrike w:val="false"/>
                <w:outline w:val="false"/>
                <w:shadow w:val="false"/>
                <w:color w:val="000000"/>
                <w:sz w:val="20"/>
                <w:u w:val="none"/>
                <w:em w:val="none"/>
              </w:rPr>
            </w:pPr>
            <w:r>
              <w:rPr>
                <w:rFonts w:ascii="Times New Roman" w:hAnsi="Times New Roman"/>
                <w:b w:val="false"/>
                <w:i w:val="false"/>
                <w:strike w:val="false"/>
                <w:dstrike w:val="false"/>
                <w:outline w:val="false"/>
                <w:shadow w:val="false"/>
                <w:color w:val="000000"/>
                <w:sz w:val="20"/>
                <w:szCs w:val="20"/>
                <w:u w:val="none"/>
                <w:em w:val="none"/>
              </w:rPr>
              <w:t>Державне підприємство "ІНФОТЕХ"</w:t>
            </w:r>
          </w:p>
          <w:p>
            <w:pPr>
              <w:pStyle w:val="Normal"/>
              <w:jc w:val="center"/>
              <w:rPr>
                <w:rFonts w:ascii="Times New Roman" w:hAnsi="Times New Roman"/>
                <w:sz w:val="20"/>
                <w:szCs w:val="20"/>
              </w:rPr>
            </w:pPr>
            <w:r>
              <w:rPr>
                <w:rFonts w:ascii="Times New Roman" w:hAnsi="Times New Roman"/>
                <w:sz w:val="20"/>
                <w:szCs w:val="20"/>
              </w:rPr>
            </w:r>
          </w:p>
        </w:tc>
        <w:tc>
          <w:tcPr>
            <w:tcW w:w="779"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322</w:t>
            </w:r>
          </w:p>
        </w:tc>
      </w:tr>
    </w:tbl>
    <w:p>
      <w:pPr>
        <w:pStyle w:val="Normal"/>
        <w:spacing w:lineRule="auto" w:line="259" w:before="0" w:after="0"/>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47"/>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p>
    <w:p>
      <w:pPr>
        <w:pStyle w:val="Normal"/>
        <w:spacing w:lineRule="auto" w:line="240"/>
        <w:ind w:firstLine="567"/>
        <w:jc w:val="both"/>
        <w:rPr>
          <w:rFonts w:ascii="Times New Roman" w:hAnsi="Times New Roman"/>
          <w:sz w:val="26"/>
          <w:szCs w:val="26"/>
        </w:rPr>
      </w:pPr>
      <w:r>
        <w:rPr>
          <w:rFonts w:eastAsia="Century Gothic" w:cs="Century Gothic" w:ascii="Times New Roman" w:hAnsi="Times New Roman"/>
          <w:b w:val="false"/>
          <w:bCs w:val="false"/>
          <w:color w:val="000000"/>
          <w:kern w:val="0"/>
          <w:sz w:val="24"/>
          <w:szCs w:val="24"/>
          <w:lang w:eastAsia="uk-UA"/>
        </w:rPr>
        <w:t>Вихідні дані Виконавчого комітету Покровської міської ради Дніпропетровської області, що використовувались для розроблення муніципального енергетичного плану</w:t>
      </w:r>
    </w:p>
    <w:p>
      <w:pPr>
        <w:pStyle w:val="Normal"/>
        <w:spacing w:lineRule="auto" w:line="240" w:before="0" w:after="0"/>
        <w:jc w:val="end"/>
        <w:rPr>
          <w:rFonts w:ascii="Times New Roman" w:hAnsi="Times New Roman"/>
          <w:sz w:val="22"/>
          <w:szCs w:val="22"/>
        </w:rPr>
      </w:pPr>
      <w:r>
        <w:rPr>
          <w:rFonts w:ascii="Times New Roman" w:hAnsi="Times New Roman"/>
          <w:sz w:val="22"/>
          <w:szCs w:val="22"/>
        </w:rPr>
        <w:t>Таблиця 1</w:t>
      </w:r>
    </w:p>
    <w:p>
      <w:pPr>
        <w:pStyle w:val="Normal"/>
        <w:spacing w:lineRule="auto" w:line="240" w:before="0" w:after="0"/>
        <w:jc w:val="center"/>
        <w:rPr>
          <w:rFonts w:ascii="Times New Roman" w:hAnsi="Times New Roman"/>
          <w:b w:val="false"/>
          <w:bCs w:val="false"/>
          <w:sz w:val="22"/>
          <w:szCs w:val="22"/>
        </w:rPr>
      </w:pPr>
      <w:r>
        <w:rPr>
          <w:rFonts w:ascii="Times New Roman" w:hAnsi="Times New Roman"/>
          <w:b w:val="false"/>
          <w:bCs w:val="false"/>
          <w:sz w:val="22"/>
          <w:szCs w:val="22"/>
        </w:rPr>
        <w:t xml:space="preserve"> </w:t>
      </w:r>
      <w:r>
        <w:rPr>
          <w:rFonts w:ascii="Times New Roman" w:hAnsi="Times New Roman"/>
          <w:b w:val="false"/>
          <w:bCs w:val="false"/>
          <w:sz w:val="22"/>
          <w:szCs w:val="22"/>
        </w:rPr>
        <w:t>Кількість та площа будівель</w:t>
      </w:r>
    </w:p>
    <w:tbl>
      <w:tblPr>
        <w:tblW w:w="5000" w:type="pct"/>
        <w:jc w:val="start"/>
        <w:tblInd w:w="-5" w:type="dxa"/>
        <w:tblLayout w:type="fixed"/>
        <w:tblCellMar>
          <w:top w:w="55" w:type="dxa"/>
          <w:start w:w="55" w:type="dxa"/>
          <w:bottom w:w="55" w:type="dxa"/>
          <w:end w:w="55" w:type="dxa"/>
        </w:tblCellMar>
      </w:tblPr>
      <w:tblGrid>
        <w:gridCol w:w="1650"/>
        <w:gridCol w:w="994"/>
        <w:gridCol w:w="984"/>
        <w:gridCol w:w="1164"/>
        <w:gridCol w:w="1311"/>
        <w:gridCol w:w="994"/>
        <w:gridCol w:w="1262"/>
        <w:gridCol w:w="996"/>
      </w:tblGrid>
      <w:tr>
        <w:trPr/>
        <w:tc>
          <w:tcPr>
            <w:tcW w:w="16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1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1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м</w:t>
            </w:r>
            <w:r>
              <w:rPr>
                <w:rFonts w:eastAsia="Times New Roman" w:cs="Times New Roman" w:ascii="Times New Roman" w:hAnsi="Times New Roman"/>
                <w:b/>
                <w:bCs/>
                <w:sz w:val="20"/>
                <w:szCs w:val="20"/>
              </w:rPr>
              <w:t>²</w:t>
            </w:r>
          </w:p>
        </w:tc>
        <w:tc>
          <w:tcPr>
            <w:tcW w:w="126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 м</w:t>
            </w:r>
            <w:r>
              <w:rPr>
                <w:rFonts w:eastAsia="Times New Roman" w:cs="Times New Roman" w:ascii="Times New Roman" w:hAnsi="Times New Roman"/>
                <w:b/>
                <w:bCs/>
                <w:sz w:val="20"/>
                <w:szCs w:val="20"/>
              </w:rPr>
              <w:t>²</w:t>
            </w:r>
          </w:p>
        </w:tc>
        <w:tc>
          <w:tcPr>
            <w:tcW w:w="99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650"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АДМІНБУДІВЛІ</w:t>
            </w:r>
          </w:p>
        </w:tc>
        <w:tc>
          <w:tcPr>
            <w:tcW w:w="99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1</w:t>
            </w:r>
          </w:p>
        </w:tc>
        <w:tc>
          <w:tcPr>
            <w:tcW w:w="98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6</w:t>
            </w:r>
          </w:p>
        </w:tc>
        <w:tc>
          <w:tcPr>
            <w:tcW w:w="116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6</w:t>
            </w:r>
          </w:p>
        </w:tc>
        <w:tc>
          <w:tcPr>
            <w:tcW w:w="1311"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5</w:t>
            </w:r>
          </w:p>
        </w:tc>
        <w:tc>
          <w:tcPr>
            <w:tcW w:w="994"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3042,1</w:t>
            </w:r>
          </w:p>
        </w:tc>
        <w:tc>
          <w:tcPr>
            <w:tcW w:w="1262" w:type="dxa"/>
            <w:tcBorders>
              <w:start w:val="single" w:sz="4" w:space="0" w:color="000000"/>
              <w:bottom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9496</w:t>
            </w:r>
          </w:p>
        </w:tc>
        <w:tc>
          <w:tcPr>
            <w:tcW w:w="996" w:type="dxa"/>
            <w:tcBorders>
              <w:start w:val="single" w:sz="4" w:space="0" w:color="000000"/>
              <w:bottom w:val="single" w:sz="4" w:space="0" w:color="000000"/>
              <w:end w:val="single" w:sz="4" w:space="0" w:color="000000"/>
            </w:tcBorders>
          </w:tcPr>
          <w:p>
            <w:pPr>
              <w:pStyle w:val="Style20"/>
              <w:jc w:val="center"/>
              <w:rPr>
                <w:rFonts w:ascii="Times New Roman" w:hAnsi="Times New Roman"/>
                <w:b w:val="false"/>
                <w:bCs w:val="false"/>
                <w:sz w:val="20"/>
                <w:szCs w:val="20"/>
              </w:rPr>
            </w:pPr>
            <w:r>
              <w:rPr>
                <w:rFonts w:ascii="Times New Roman" w:hAnsi="Times New Roman"/>
                <w:b w:val="false"/>
                <w:bCs w:val="false"/>
                <w:sz w:val="20"/>
                <w:szCs w:val="20"/>
              </w:rPr>
              <w:t>100</w:t>
            </w:r>
          </w:p>
        </w:tc>
      </w:tr>
    </w:tbl>
    <w:p>
      <w:pPr>
        <w:pStyle w:val="Normal"/>
        <w:spacing w:lineRule="auto" w:line="259" w:before="0" w:after="0"/>
        <w:jc w:val="end"/>
        <w:rPr>
          <w:sz w:val="21"/>
          <w:szCs w:val="21"/>
        </w:rPr>
      </w:pPr>
      <w:r>
        <w:rPr>
          <w:rFonts w:eastAsia="Century Gothic" w:cs="Century Gothic" w:ascii="Times New Roman" w:hAnsi="Times New Roman"/>
          <w:kern w:val="0"/>
          <w:sz w:val="21"/>
          <w:szCs w:val="21"/>
          <w:lang w:eastAsia="uk-UA"/>
        </w:rPr>
        <w:t xml:space="preserve">Таблиця </w:t>
      </w:r>
      <w:r>
        <w:rPr>
          <w:rFonts w:eastAsia="Century Gothic" w:cs="Century Gothic" w:ascii="Times New Roman" w:hAnsi="Times New Roman"/>
          <w:kern w:val="0"/>
          <w:sz w:val="21"/>
          <w:szCs w:val="21"/>
          <w:lang w:eastAsia="uk-UA"/>
        </w:rPr>
        <w:t>2</w:t>
      </w:r>
    </w:p>
    <w:p>
      <w:pPr>
        <w:pStyle w:val="Normal"/>
        <w:spacing w:lineRule="auto" w:line="259" w:before="0" w:after="0"/>
        <w:jc w:val="center"/>
        <w:rPr/>
      </w:pPr>
      <w:r>
        <w:rPr>
          <w:rFonts w:eastAsia="Century Gothic" w:cs="Century Gothic" w:ascii="Times New Roman" w:hAnsi="Times New Roman"/>
          <w:kern w:val="0"/>
          <w:sz w:val="24"/>
          <w:szCs w:val="24"/>
          <w:lang w:eastAsia="uk-UA"/>
        </w:rPr>
        <w:t xml:space="preserve"> </w:t>
      </w:r>
      <w:r>
        <w:rPr>
          <w:rFonts w:ascii="Times New Roman" w:hAnsi="Times New Roman"/>
          <w:sz w:val="24"/>
          <w:szCs w:val="24"/>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2214"/>
        <w:gridCol w:w="1699"/>
        <w:gridCol w:w="1987"/>
        <w:gridCol w:w="2038"/>
        <w:gridCol w:w="1724"/>
      </w:tblGrid>
      <w:tr>
        <w:trPr>
          <w:trHeight w:val="26" w:hRule="atLeast"/>
        </w:trPr>
        <w:tc>
          <w:tcPr>
            <w:tcW w:w="2214" w:type="dxa"/>
            <w:vMerge w:val="restart"/>
            <w:tcBorders>
              <w:top w:val="single" w:sz="4" w:space="0" w:color="000000"/>
              <w:start w:val="single" w:sz="4" w:space="0" w:color="000000"/>
              <w:bottom w:val="single" w:sz="4" w:space="0" w:color="000000"/>
            </w:tcBorders>
          </w:tcPr>
          <w:p>
            <w:pPr>
              <w:pStyle w:val="Style20"/>
              <w:spacing w:lineRule="auto" w:line="240"/>
              <w:jc w:val="center"/>
              <w:rPr>
                <w:rFonts w:ascii="Times New Roman" w:hAnsi="Times New Roman"/>
                <w:b/>
                <w:bCs/>
                <w:sz w:val="24"/>
                <w:szCs w:val="24"/>
              </w:rPr>
            </w:pPr>
            <w:r>
              <w:rPr>
                <w:rFonts w:ascii="Times New Roman" w:hAnsi="Times New Roman"/>
                <w:b/>
                <w:bCs/>
                <w:sz w:val="24"/>
                <w:szCs w:val="24"/>
              </w:rPr>
              <w:t>Найменування</w:t>
            </w:r>
          </w:p>
        </w:tc>
        <w:tc>
          <w:tcPr>
            <w:tcW w:w="1699" w:type="dxa"/>
            <w:vMerge w:val="restart"/>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bCs/>
                <w:sz w:val="24"/>
                <w:szCs w:val="24"/>
              </w:rPr>
            </w:pPr>
            <w:r>
              <w:rPr>
                <w:rFonts w:ascii="Times New Roman" w:hAnsi="Times New Roman"/>
                <w:b/>
                <w:bCs/>
                <w:sz w:val="24"/>
                <w:szCs w:val="24"/>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2214" w:type="dxa"/>
            <w:vMerge w:val="continue"/>
            <w:tcBorders>
              <w:top w:val="single" w:sz="4" w:space="0" w:color="000000"/>
              <w:start w:val="single" w:sz="4" w:space="0" w:color="000000"/>
              <w:bottom w:val="single" w:sz="4" w:space="0" w:color="000000"/>
            </w:tcBorders>
          </w:tcPr>
          <w:p>
            <w:pPr>
              <w:pStyle w:val="Normal"/>
              <w:rPr/>
            </w:pPr>
            <w:r>
              <w:rPr/>
            </w:r>
          </w:p>
        </w:tc>
        <w:tc>
          <w:tcPr>
            <w:tcW w:w="1699"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Електроенергія</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МВт*год</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6</w:t>
            </w:r>
            <w:r>
              <w:rPr>
                <w:rFonts w:ascii="Times New Roman" w:hAnsi="Times New Roman"/>
                <w:b w:val="false"/>
                <w:bCs w:val="false"/>
                <w:sz w:val="24"/>
                <w:szCs w:val="24"/>
              </w:rPr>
              <w:t>4</w:t>
            </w:r>
            <w:r>
              <w:rPr>
                <w:rFonts w:ascii="Times New Roman" w:hAnsi="Times New Roman"/>
                <w:b w:val="false"/>
                <w:bCs w:val="false"/>
                <w:sz w:val="24"/>
                <w:szCs w:val="24"/>
              </w:rPr>
              <w:t>,1</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81</w:t>
            </w:r>
            <w:r>
              <w:rPr>
                <w:rFonts w:ascii="Times New Roman" w:hAnsi="Times New Roman"/>
                <w:b w:val="false"/>
                <w:bCs w:val="false"/>
                <w:sz w:val="24"/>
                <w:szCs w:val="24"/>
              </w:rPr>
              <w:t>,7</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7</w:t>
            </w:r>
            <w:r>
              <w:rPr>
                <w:rFonts w:ascii="Times New Roman" w:hAnsi="Times New Roman"/>
                <w:b w:val="false"/>
                <w:bCs w:val="false"/>
                <w:sz w:val="24"/>
                <w:szCs w:val="24"/>
              </w:rPr>
              <w:t>8</w:t>
            </w:r>
            <w:r>
              <w:rPr>
                <w:rFonts w:ascii="Times New Roman" w:hAnsi="Times New Roman"/>
                <w:b w:val="false"/>
                <w:bCs w:val="false"/>
                <w:sz w:val="24"/>
                <w:szCs w:val="24"/>
              </w:rPr>
              <w:t>,7</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Природний газ</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тис.м</w:t>
            </w:r>
            <w:r>
              <w:rPr>
                <w:rFonts w:eastAsia="Times New Roman" w:cs="Times New Roman" w:ascii="Times New Roman" w:hAnsi="Times New Roman"/>
                <w:b w:val="false"/>
                <w:bCs w:val="false"/>
                <w:sz w:val="24"/>
                <w:szCs w:val="24"/>
              </w:rPr>
              <w:t>³</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1,27</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Теплова енергія на опалення</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Гкал</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271,3833</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302,415</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323,66</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 xml:space="preserve">Бензин </w:t>
            </w:r>
            <w:r>
              <w:rPr>
                <w:rFonts w:ascii="Times New Roman" w:hAnsi="Times New Roman"/>
                <w:b w:val="false"/>
                <w:bCs w:val="false"/>
                <w:sz w:val="24"/>
                <w:szCs w:val="24"/>
              </w:rPr>
              <w:t>(автомобілі)</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 л</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11,5</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10,0</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9,7</w:t>
            </w:r>
          </w:p>
        </w:tc>
      </w:tr>
      <w:tr>
        <w:trPr>
          <w:trHeight w:val="26" w:hRule="atLeast"/>
        </w:trPr>
        <w:tc>
          <w:tcPr>
            <w:tcW w:w="2214"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Дизель</w:t>
            </w:r>
            <w:r>
              <w:rPr>
                <w:rFonts w:ascii="Times New Roman" w:hAnsi="Times New Roman"/>
                <w:b w:val="false"/>
                <w:bCs w:val="false"/>
                <w:sz w:val="24"/>
                <w:szCs w:val="24"/>
              </w:rPr>
              <w:t>(автомобілі)</w:t>
            </w:r>
          </w:p>
        </w:tc>
        <w:tc>
          <w:tcPr>
            <w:tcW w:w="1699"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 л</w:t>
            </w:r>
          </w:p>
        </w:tc>
        <w:tc>
          <w:tcPr>
            <w:tcW w:w="1987"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0,5</w:t>
            </w:r>
          </w:p>
        </w:tc>
        <w:tc>
          <w:tcPr>
            <w:tcW w:w="20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1,7</w:t>
            </w:r>
          </w:p>
        </w:tc>
      </w:tr>
    </w:tbl>
    <w:p>
      <w:pPr>
        <w:pStyle w:val="Normal"/>
        <w:spacing w:lineRule="auto" w:line="259" w:before="0" w:after="0"/>
        <w:jc w:val="end"/>
        <w:rPr>
          <w:rFonts w:ascii="Times New Roman" w:hAnsi="Times New Roman"/>
          <w:sz w:val="21"/>
          <w:szCs w:val="21"/>
        </w:rPr>
      </w:pPr>
      <w:r>
        <w:rPr>
          <w:rFonts w:eastAsia="Century Gothic" w:cs="Century Gothic" w:ascii="Times New Roman" w:hAnsi="Times New Roman"/>
          <w:kern w:val="0"/>
          <w:sz w:val="21"/>
          <w:szCs w:val="21"/>
          <w:lang w:eastAsia="uk-UA"/>
        </w:rPr>
        <w:t xml:space="preserve">Таблиця </w:t>
      </w:r>
      <w:r>
        <w:rPr>
          <w:rFonts w:eastAsia="Century Gothic" w:cs="Century Gothic" w:ascii="Times New Roman" w:hAnsi="Times New Roman"/>
          <w:kern w:val="0"/>
          <w:sz w:val="21"/>
          <w:szCs w:val="21"/>
          <w:lang w:eastAsia="uk-UA"/>
        </w:rPr>
        <w:t>3</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85"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shd w:fill="auto" w:val="clear"/>
              </w:rPr>
            </w:pPr>
            <w:r>
              <w:rPr>
                <w:rFonts w:ascii="Times New Roman" w:hAnsi="Times New Roman"/>
                <w:b/>
                <w:bCs/>
                <w:sz w:val="24"/>
                <w:szCs w:val="24"/>
                <w:shd w:fill="auto" w:val="clear"/>
              </w:rPr>
              <w:t>2024</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Електроенергія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МВт*год</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6,399967</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7,30651</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10,167138</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Природний газ</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тис.м3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16554,00</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Теплова енергія на опалення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Гкал</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3511,045</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5384,29</w:t>
            </w:r>
          </w:p>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6015,94</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Водопостачання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21,40</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21,40</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21,40</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Водовідведення</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15,40</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15,40</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15,40</w:t>
            </w:r>
          </w:p>
        </w:tc>
      </w:tr>
      <w:tr>
        <w:trPr>
          <w:trHeight w:val="26" w:hRule="atLeast"/>
        </w:trPr>
        <w:tc>
          <w:tcPr>
            <w:tcW w:w="277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Послуга з у</w:t>
            </w:r>
            <w:r>
              <w:rPr>
                <w:rFonts w:ascii="Times New Roman" w:hAnsi="Times New Roman"/>
                <w:b w:val="false"/>
                <w:bCs w:val="false"/>
                <w:sz w:val="24"/>
                <w:szCs w:val="24"/>
              </w:rPr>
              <w:t xml:space="preserve">правління </w:t>
            </w:r>
            <w:r>
              <w:rPr>
                <w:rFonts w:ascii="Times New Roman" w:hAnsi="Times New Roman"/>
                <w:b w:val="false"/>
                <w:bCs w:val="false"/>
                <w:sz w:val="24"/>
                <w:szCs w:val="24"/>
              </w:rPr>
              <w:t>побутовими</w:t>
            </w:r>
            <w:r>
              <w:rPr>
                <w:rFonts w:ascii="Times New Roman" w:hAnsi="Times New Roman"/>
                <w:b w:val="false"/>
                <w:bCs w:val="false"/>
                <w:sz w:val="24"/>
                <w:szCs w:val="24"/>
              </w:rPr>
              <w:t xml:space="preserve"> відходами</w:t>
            </w:r>
          </w:p>
        </w:tc>
        <w:tc>
          <w:tcPr>
            <w:tcW w:w="1638"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м3</w:t>
            </w:r>
          </w:p>
        </w:tc>
        <w:tc>
          <w:tcPr>
            <w:tcW w:w="1925"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282,142</w:t>
            </w:r>
          </w:p>
        </w:tc>
        <w:tc>
          <w:tcPr>
            <w:tcW w:w="1600" w:type="dxa"/>
            <w:tcBorders>
              <w:start w:val="single" w:sz="4" w:space="0" w:color="000000"/>
              <w:bottom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249,72</w:t>
            </w:r>
          </w:p>
        </w:tc>
        <w:tc>
          <w:tcPr>
            <w:tcW w:w="1724" w:type="dxa"/>
            <w:tcBorders>
              <w:start w:val="single" w:sz="4" w:space="0" w:color="000000"/>
              <w:bottom w:val="single" w:sz="4" w:space="0" w:color="000000"/>
              <w:end w:val="single" w:sz="4" w:space="0" w:color="000000"/>
            </w:tcBorders>
          </w:tcPr>
          <w:p>
            <w:pPr>
              <w:pStyle w:val="Style20"/>
              <w:spacing w:lineRule="auto" w:line="240"/>
              <w:jc w:val="center"/>
              <w:rPr>
                <w:rFonts w:ascii="Times New Roman" w:hAnsi="Times New Roman"/>
                <w:b w:val="false"/>
                <w:bCs w:val="false"/>
                <w:sz w:val="24"/>
                <w:szCs w:val="24"/>
              </w:rPr>
            </w:pPr>
            <w:r>
              <w:rPr>
                <w:rFonts w:ascii="Times New Roman" w:hAnsi="Times New Roman"/>
                <w:b w:val="false"/>
                <w:bCs w:val="false"/>
                <w:sz w:val="24"/>
                <w:szCs w:val="24"/>
              </w:rPr>
              <w:t>249,72</w:t>
            </w:r>
          </w:p>
        </w:tc>
      </w:tr>
    </w:tbl>
    <w:p>
      <w:pPr>
        <w:pStyle w:val="Normal"/>
        <w:spacing w:before="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4</w:t>
      </w:r>
    </w:p>
    <w:p>
      <w:pPr>
        <w:pStyle w:val="Default"/>
        <w:jc w:val="center"/>
        <w:rPr>
          <w:rFonts w:ascii="Times New Roman" w:hAnsi="Times New Roman"/>
          <w:sz w:val="24"/>
          <w:szCs w:val="24"/>
        </w:rPr>
      </w:pPr>
      <w:r>
        <w:rPr>
          <w:rFonts w:cs="Century Gothic"/>
          <w:color w:val="auto"/>
          <w:sz w:val="24"/>
          <w:szCs w:val="24"/>
        </w:rPr>
        <w:t>Р</w:t>
      </w:r>
      <w:r>
        <w:rPr>
          <w:rFonts w:cs="Century Gothic"/>
          <w:color w:val="auto"/>
          <w:sz w:val="22"/>
          <w:szCs w:val="22"/>
        </w:rPr>
        <w:t>ічне споживання палива транспорт</w:t>
      </w:r>
      <w:r>
        <w:rPr>
          <w:rFonts w:cs="Century Gothic"/>
          <w:color w:val="auto"/>
          <w:sz w:val="22"/>
          <w:szCs w:val="22"/>
        </w:rPr>
        <w:t>ними засобами</w:t>
      </w:r>
      <w:r>
        <w:rPr>
          <w:rFonts w:cs="Century Gothic"/>
          <w:color w:val="auto"/>
          <w:sz w:val="22"/>
          <w:szCs w:val="22"/>
        </w:rPr>
        <w:t xml:space="preserve"> </w:t>
      </w:r>
      <w:r>
        <w:rPr>
          <w:rFonts w:cs="Century Gothic"/>
          <w:color w:val="auto"/>
          <w:sz w:val="22"/>
          <w:szCs w:val="22"/>
        </w:rPr>
        <w:t>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475" w:type="dxa"/>
            <w:tcBorders>
              <w:top w:val="single" w:sz="4" w:space="0" w:color="000000"/>
              <w:start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11,5</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10,0</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9,7</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0,5</w:t>
            </w:r>
          </w:p>
        </w:tc>
        <w:tc>
          <w:tcPr>
            <w:tcW w:w="1475" w:type="dxa"/>
            <w:tcBorders>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1,5</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1,7</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bl>
    <w:p>
      <w:pPr>
        <w:pStyle w:val="Normal"/>
        <w:spacing w:lineRule="auto" w:line="259" w:before="0" w:after="0"/>
        <w:jc w:val="end"/>
        <w:rPr>
          <w:rFonts w:ascii="Times New Roman" w:hAnsi="Times New Roman" w:eastAsia="Century Gothic" w:cs="Century Gothic"/>
          <w:kern w:val="0"/>
          <w:sz w:val="24"/>
          <w:szCs w:val="24"/>
          <w:lang w:eastAsia="uk-UA"/>
        </w:rPr>
        <w:sectPr>
          <w:headerReference w:type="default" r:id="rId48"/>
          <w:headerReference w:type="first" r:id="rId49"/>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kern w:val="0"/>
          <w:sz w:val="24"/>
          <w:szCs w:val="24"/>
          <w:lang w:eastAsia="uk-UA"/>
        </w:rPr>
      </w:r>
    </w:p>
    <w:p>
      <w:pPr>
        <w:pStyle w:val="Normal"/>
        <w:spacing w:lineRule="auto" w:line="259" w:before="0" w:after="0"/>
        <w:jc w:val="end"/>
        <w:rPr>
          <w:rFonts w:ascii="Times New Roman" w:hAnsi="Times New Roman"/>
          <w:sz w:val="22"/>
          <w:szCs w:val="22"/>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5</w:t>
      </w:r>
      <w:r>
        <w:rPr>
          <w:rFonts w:eastAsia="Century Gothic" w:cs="Century Gothic" w:ascii="Times New Roman" w:hAnsi="Times New Roman"/>
          <w:kern w:val="0"/>
          <w:sz w:val="22"/>
          <w:szCs w:val="22"/>
          <w:lang w:eastAsia="uk-UA"/>
        </w:rPr>
        <w:t xml:space="preserve"> </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tbl>
      <w:tblPr>
        <w:tblW w:w="5000" w:type="pct"/>
        <w:jc w:val="start"/>
        <w:tblInd w:w="-5" w:type="dxa"/>
        <w:tblLayout w:type="fixed"/>
        <w:tblCellMar>
          <w:top w:w="55" w:type="dxa"/>
          <w:start w:w="55" w:type="dxa"/>
          <w:bottom w:w="55" w:type="dxa"/>
          <w:end w:w="55" w:type="dxa"/>
        </w:tblCellMar>
      </w:tblPr>
      <w:tblGrid>
        <w:gridCol w:w="1069"/>
        <w:gridCol w:w="1030"/>
        <w:gridCol w:w="1007"/>
        <w:gridCol w:w="902"/>
        <w:gridCol w:w="601"/>
        <w:gridCol w:w="1009"/>
        <w:gridCol w:w="952"/>
        <w:gridCol w:w="1335"/>
        <w:gridCol w:w="1248"/>
        <w:gridCol w:w="1179"/>
        <w:gridCol w:w="1235"/>
        <w:gridCol w:w="975"/>
        <w:gridCol w:w="984"/>
        <w:gridCol w:w="1044"/>
      </w:tblGrid>
      <w:tr>
        <w:trPr/>
        <w:tc>
          <w:tcPr>
            <w:tcW w:w="106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103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0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w:t>
            </w:r>
            <w:r>
              <w:rPr>
                <w:rFonts w:ascii="Times New Roman" w:hAnsi="Times New Roman"/>
                <w:b/>
                <w:bCs/>
                <w:sz w:val="16"/>
                <w:szCs w:val="16"/>
              </w:rPr>
              <w:t>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постачання </w:t>
            </w:r>
            <w:r>
              <w:rPr>
                <w:rFonts w:ascii="Times New Roman" w:hAnsi="Times New Roman"/>
                <w:b/>
                <w:bCs/>
                <w:sz w:val="16"/>
                <w:szCs w:val="16"/>
              </w:rPr>
              <w:t>газа</w:t>
            </w:r>
          </w:p>
        </w:tc>
        <w:tc>
          <w:tcPr>
            <w:tcW w:w="97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b/>
                <w:bCs/>
                <w:sz w:val="16"/>
                <w:szCs w:val="16"/>
              </w:rPr>
            </w:pPr>
            <w:r>
              <w:rPr>
                <w:rFonts w:ascii="Times New Roman" w:hAnsi="Times New Roman"/>
                <w:b/>
                <w:bCs/>
                <w:sz w:val="16"/>
                <w:szCs w:val="16"/>
              </w:rPr>
              <w:t>Виконавчий комітет Покровської міської ради Дніпропетровської області</w:t>
            </w:r>
          </w:p>
        </w:tc>
      </w:tr>
      <w:tr>
        <w:trPr/>
        <w:tc>
          <w:tcPr>
            <w:tcW w:w="106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Нежитлова будівля з огорожею,загальною площею1498,0  м.кв.</w:t>
            </w:r>
          </w:p>
        </w:tc>
        <w:tc>
          <w:tcPr>
            <w:tcW w:w="1030"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вул. Партизанська, буд.71, м.Покров, Нікопольський р-н, Дніпропетровська обл.</w:t>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ветеранського простору</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1969</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1498</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20000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Нежитлова будівля </w:t>
            </w:r>
          </w:p>
          <w:p>
            <w:pPr>
              <w:pStyle w:val="Normal"/>
              <w:rPr>
                <w:rFonts w:ascii="Times New Roman" w:hAnsi="Times New Roman"/>
                <w:sz w:val="16"/>
                <w:szCs w:val="16"/>
              </w:rPr>
            </w:pPr>
            <w:r>
              <w:rPr>
                <w:rFonts w:ascii="Times New Roman" w:hAnsi="Times New Roman"/>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 </w:t>
            </w:r>
            <w:r>
              <w:rPr>
                <w:rFonts w:ascii="Times New Roman" w:hAnsi="Times New Roman"/>
                <w:b w:val="false"/>
                <w:i w:val="false"/>
                <w:strike w:val="false"/>
                <w:dstrike w:val="false"/>
                <w:outline w:val="false"/>
                <w:shadow w:val="false"/>
                <w:color w:val="000000"/>
                <w:sz w:val="16"/>
                <w:szCs w:val="16"/>
                <w:u w:val="none"/>
                <w:em w:val="none"/>
              </w:rPr>
              <w:t>с.Шолохово, вул.Центральна, буд.14</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сільської ради</w:t>
            </w:r>
          </w:p>
        </w:tc>
        <w:tc>
          <w:tcPr>
            <w:tcW w:w="902"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1957</w:t>
            </w:r>
          </w:p>
          <w:p>
            <w:pPr>
              <w:pStyle w:val="Normal"/>
              <w:rPr>
                <w:rFonts w:ascii="Times New Roman" w:hAnsi="Times New Roman"/>
                <w:sz w:val="16"/>
                <w:szCs w:val="16"/>
              </w:rPr>
            </w:pPr>
            <w:r>
              <w:rPr>
                <w:rFonts w:ascii="Times New Roman" w:hAnsi="Times New Roman"/>
                <w:sz w:val="16"/>
                <w:szCs w:val="16"/>
              </w:rPr>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200,3</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818</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30000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сарай для твердого палива</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 </w:t>
            </w:r>
            <w:r>
              <w:rPr>
                <w:rFonts w:ascii="Times New Roman" w:hAnsi="Times New Roman"/>
                <w:b w:val="false"/>
                <w:i w:val="false"/>
                <w:strike w:val="false"/>
                <w:dstrike w:val="false"/>
                <w:outline w:val="false"/>
                <w:shadow w:val="false"/>
                <w:color w:val="000000"/>
                <w:sz w:val="16"/>
                <w:szCs w:val="16"/>
                <w:u w:val="none"/>
                <w:em w:val="none"/>
              </w:rPr>
              <w:t>с.Шолохово, вул.Центральна, буд.14</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сарай</w:t>
            </w:r>
          </w:p>
        </w:tc>
        <w:tc>
          <w:tcPr>
            <w:tcW w:w="902"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1957</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18</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гараж для автомобіля</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 </w:t>
            </w:r>
            <w:r>
              <w:rPr>
                <w:rFonts w:ascii="Times New Roman" w:hAnsi="Times New Roman"/>
                <w:b w:val="false"/>
                <w:i w:val="false"/>
                <w:strike w:val="false"/>
                <w:dstrike w:val="false"/>
                <w:outline w:val="false"/>
                <w:shadow w:val="false"/>
                <w:color w:val="000000"/>
                <w:sz w:val="16"/>
                <w:szCs w:val="16"/>
                <w:u w:val="none"/>
                <w:em w:val="none"/>
              </w:rPr>
              <w:t>с.Шолохово, вул.Центральна, буд.14</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гараж</w:t>
            </w:r>
          </w:p>
        </w:tc>
        <w:tc>
          <w:tcPr>
            <w:tcW w:w="902"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1957</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54</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 xml:space="preserve">Нежитлова будівля </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вул.Центральна, буд.48</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міської ради</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03.10.1973</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4</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2516,1</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8112</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72000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Будівля гаражу на п’ять секцій, загальною площею 231,9 мІ</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вул.Героїв України, буд.15а</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Гараж</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11.12.2001</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231,9</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500</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15000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Нежитлове приміщення, м.Покров, вул.Залужного,  буд.5, загальною площею 19,8 мІ</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вул.Залужного, буд.5</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ЦНАП</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13.08.2021</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19,8</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60</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1000</w:t>
            </w:r>
          </w:p>
        </w:tc>
      </w:tr>
      <w:tr>
        <w:trPr/>
        <w:tc>
          <w:tcPr>
            <w:tcW w:w="1069"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Нежитлове приміщення, м.Покров, вул.Залужного, буд.5, загальною площею 2 мІ</w:t>
            </w:r>
          </w:p>
          <w:p>
            <w:pPr>
              <w:pStyle w:val="Normal"/>
              <w:rPr>
                <w:sz w:val="16"/>
                <w:szCs w:val="16"/>
              </w:rPr>
            </w:pPr>
            <w:r>
              <w:rPr>
                <w:sz w:val="16"/>
                <w:szCs w:val="16"/>
              </w:rPr>
            </w:r>
          </w:p>
        </w:tc>
        <w:tc>
          <w:tcPr>
            <w:tcW w:w="1030" w:type="dxa"/>
            <w:tcBorders>
              <w:start w:val="single" w:sz="4" w:space="0" w:color="000000"/>
              <w:bottom w:val="single" w:sz="4" w:space="0" w:color="000000"/>
            </w:tcBorders>
          </w:tcPr>
          <w:p>
            <w:pPr>
              <w:pStyle w:val="Normal"/>
              <w:bidi w:val="0"/>
              <w:rPr>
                <w:rFonts w:ascii="Times New Roman" w:hAnsi="Times New Roman"/>
                <w:b w:val="false"/>
                <w:i w:val="false"/>
                <w:strike w:val="false"/>
                <w:dstrike w:val="false"/>
                <w:outline w:val="false"/>
                <w:shadow w:val="false"/>
                <w:color w:val="000000"/>
                <w:sz w:val="16"/>
                <w:szCs w:val="16"/>
                <w:u w:val="none"/>
                <w:em w:val="none"/>
              </w:rPr>
            </w:pPr>
            <w:r>
              <w:rPr>
                <w:rFonts w:ascii="Times New Roman" w:hAnsi="Times New Roman"/>
                <w:b w:val="false"/>
                <w:i w:val="false"/>
                <w:strike w:val="false"/>
                <w:dstrike w:val="false"/>
                <w:outline w:val="false"/>
                <w:shadow w:val="false"/>
                <w:color w:val="000000"/>
                <w:sz w:val="16"/>
                <w:szCs w:val="16"/>
                <w:u w:val="none"/>
                <w:em w:val="none"/>
              </w:rPr>
              <w:t>м.Покров, вул.Залужного, буд.5</w:t>
            </w:r>
          </w:p>
          <w:p>
            <w:pPr>
              <w:pStyle w:val="Normal"/>
              <w:rPr>
                <w:rFonts w:ascii="Times New Roman" w:hAnsi="Times New Roman"/>
                <w:sz w:val="16"/>
                <w:szCs w:val="16"/>
              </w:rPr>
            </w:pPr>
            <w:r>
              <w:rPr>
                <w:rFonts w:ascii="Times New Roman" w:hAnsi="Times New Roman"/>
                <w:sz w:val="16"/>
                <w:szCs w:val="16"/>
              </w:rPr>
            </w:r>
          </w:p>
        </w:tc>
        <w:tc>
          <w:tcPr>
            <w:tcW w:w="10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Розміщення ЦНАП</w:t>
            </w:r>
          </w:p>
        </w:tc>
        <w:tc>
          <w:tcPr>
            <w:tcW w:w="90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13.08.2021</w:t>
            </w:r>
          </w:p>
        </w:tc>
        <w:tc>
          <w:tcPr>
            <w:tcW w:w="60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100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952"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6</w:t>
            </w:r>
          </w:p>
        </w:tc>
        <w:tc>
          <w:tcPr>
            <w:tcW w:w="13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Альтернавтивне опалення</w:t>
            </w:r>
          </w:p>
        </w:tc>
        <w:tc>
          <w:tcPr>
            <w:tcW w:w="124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79"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23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7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8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Централізоване</w:t>
            </w:r>
          </w:p>
        </w:tc>
        <w:tc>
          <w:tcPr>
            <w:tcW w:w="1044"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100</w:t>
            </w:r>
          </w:p>
        </w:tc>
      </w:tr>
    </w:tbl>
    <w:p>
      <w:pPr>
        <w:pStyle w:val="Normal"/>
        <w:spacing w:lineRule="auto" w:line="259" w:before="0" w:after="0"/>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50"/>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ПМКП «ЖИТЛОКОМСЕРВІС», що використовувались для розроблення муніципального енергетичного плану</w:t>
      </w:r>
    </w:p>
    <w:p>
      <w:pPr>
        <w:pStyle w:val="BodyText"/>
        <w:widowControl/>
        <w:pBdr/>
        <w:spacing w:before="0" w:after="0"/>
        <w:ind w:firstLine="450" w:start="0" w:end="0"/>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1</w:t>
      </w:r>
    </w:p>
    <w:p>
      <w:pPr>
        <w:pStyle w:val="Normal"/>
        <w:jc w:val="center"/>
        <w:rPr>
          <w:rFonts w:ascii="Times New Roman" w:hAnsi="Times New Roman"/>
        </w:rPr>
      </w:pPr>
      <w:r>
        <w:rPr>
          <w:rFonts w:ascii="Times New Roman" w:hAnsi="Times New Roman"/>
        </w:rPr>
        <w:t>Обсяги споживання енергоресурсів загалом по всім громадським будівлям ПМКП «ЖКС»</w:t>
      </w:r>
    </w:p>
    <w:tbl>
      <w:tblPr>
        <w:tblW w:w="9662" w:type="dxa"/>
        <w:jc w:val="start"/>
        <w:tblInd w:w="-113" w:type="dxa"/>
        <w:tblLayout w:type="fixed"/>
        <w:tblCellMar>
          <w:top w:w="55" w:type="dxa"/>
          <w:start w:w="55" w:type="dxa"/>
          <w:bottom w:w="55"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1875" w:type="dxa"/>
            <w:vMerge w:val="continue"/>
            <w:tcBorders>
              <w:top w:val="single" w:sz="4" w:space="0" w:color="000000"/>
              <w:start w:val="single" w:sz="4" w:space="0" w:color="000000"/>
              <w:bottom w:val="single" w:sz="4"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224,876</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252,792</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253,214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2038" w:type="dxa"/>
            <w:tcBorders>
              <w:start w:val="single" w:sz="4" w:space="0" w:color="000000"/>
              <w:bottom w:val="single" w:sz="4" w:space="0" w:color="000000"/>
            </w:tcBorders>
          </w:tcPr>
          <w:p>
            <w:pPr>
              <w:pStyle w:val="Style20"/>
              <w:jc w:val="center"/>
              <w:rPr/>
            </w:pPr>
            <w:r>
              <w:rPr>
                <w:rStyle w:val="Style13"/>
                <w:rFonts w:ascii="Times New Roman" w:hAnsi="Times New Roman"/>
                <w:b/>
                <w:bCs/>
              </w:rPr>
              <w:t>тис.м</w:t>
            </w:r>
            <w:r>
              <w:rPr>
                <w:rStyle w:val="Style13"/>
                <w:rFonts w:eastAsia="Times New Roman" w:cs="Times New Roman" w:ascii="Times New Roman" w:hAnsi="Times New Roman"/>
                <w:b/>
                <w:bCs/>
              </w:rPr>
              <w:t>³</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35,670</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32,666</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33,580</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734,125</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794,339</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795,057</w:t>
            </w:r>
          </w:p>
        </w:tc>
      </w:tr>
    </w:tbl>
    <w:p>
      <w:pPr>
        <w:pStyle w:val="Normal"/>
        <w:spacing w:lineRule="auto" w:line="245"/>
        <w:rPr>
          <w:rFonts w:ascii="Times New Roman" w:hAnsi="Times New Roman"/>
        </w:rPr>
      </w:pPr>
      <w:r>
        <w:rPr>
          <w:rFonts w:ascii="Times New Roman" w:hAnsi="Times New Roman"/>
        </w:rPr>
      </w:r>
    </w:p>
    <w:p>
      <w:pPr>
        <w:pStyle w:val="Normal"/>
        <w:spacing w:lineRule="auto" w:line="252"/>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2</w:t>
      </w:r>
    </w:p>
    <w:p>
      <w:pPr>
        <w:pStyle w:val="Normal"/>
        <w:jc w:val="center"/>
        <w:rPr>
          <w:rFonts w:ascii="Times New Roman" w:hAnsi="Times New Roman"/>
        </w:rPr>
      </w:pPr>
      <w:r>
        <w:rPr>
          <w:rFonts w:ascii="Times New Roman" w:hAnsi="Times New Roman"/>
        </w:rPr>
        <w:t>Тарифи на комунальні послуги (гуртожитки за адресами: вул. Центральна, 49/1;49/2; вул. Героїв України, 13)</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0,00168</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0,00216</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0,00362</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8932,50</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7956,89</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7956,89</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3498,86</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4345,85</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5787,99</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15,40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lineRule="auto" w:line="254"/>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3</w:t>
      </w:r>
    </w:p>
    <w:p>
      <w:pPr>
        <w:pStyle w:val="Normal"/>
        <w:jc w:val="center"/>
        <w:rPr>
          <w:rFonts w:ascii="Times New Roman" w:hAnsi="Times New Roman"/>
        </w:rPr>
      </w:pPr>
      <w:r>
        <w:rPr>
          <w:rFonts w:ascii="Times New Roman" w:hAnsi="Times New Roman"/>
        </w:rPr>
        <w:t>Тарифи на комунальні послуги (вул. Європейська,15 – адмінбудівля)</w:t>
      </w:r>
    </w:p>
    <w:tbl>
      <w:tblPr>
        <w:tblW w:w="9662" w:type="dxa"/>
        <w:jc w:val="start"/>
        <w:tblInd w:w="-113" w:type="dxa"/>
        <w:tblLayout w:type="fixed"/>
        <w:tblCellMar>
          <w:top w:w="55" w:type="dxa"/>
          <w:start w:w="55" w:type="dxa"/>
          <w:bottom w:w="55" w:type="dxa"/>
          <w:end w:w="55" w:type="dxa"/>
        </w:tblCellMar>
      </w:tblPr>
      <w:tblGrid>
        <w:gridCol w:w="2775"/>
        <w:gridCol w:w="1638"/>
        <w:gridCol w:w="1786"/>
        <w:gridCol w:w="1739"/>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786"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739"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0,00554</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0,00651</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0,00798</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43972,88</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32035,60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18751,67</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15,40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786"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39"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4</w:t>
      </w:r>
    </w:p>
    <w:p>
      <w:pPr>
        <w:pStyle w:val="Normal"/>
        <w:jc w:val="center"/>
        <w:rPr>
          <w:rFonts w:ascii="Times New Roman" w:hAnsi="Times New Roman"/>
          <w:sz w:val="24"/>
          <w:szCs w:val="24"/>
        </w:rPr>
      </w:pPr>
      <w:r>
        <w:rPr>
          <w:rFonts w:ascii="Times New Roman" w:hAnsi="Times New Roman"/>
          <w:sz w:val="24"/>
          <w:szCs w:val="24"/>
        </w:rPr>
        <w:t>Поточні, попередні та заплановані програми, плани та проєкти щодо підвищення енергоефективності та частки відновлювальних джерел енергії</w:t>
      </w:r>
    </w:p>
    <w:tbl>
      <w:tblPr>
        <w:tblW w:w="9746" w:type="dxa"/>
        <w:jc w:val="start"/>
        <w:tblInd w:w="-103" w:type="dxa"/>
        <w:tblLayout w:type="fixed"/>
        <w:tblCellMar>
          <w:top w:w="55" w:type="dxa"/>
          <w:start w:w="55" w:type="dxa"/>
          <w:bottom w:w="55" w:type="dxa"/>
          <w:end w:w="55" w:type="dxa"/>
        </w:tblCellMar>
      </w:tblPr>
      <w:tblGrid>
        <w:gridCol w:w="388"/>
        <w:gridCol w:w="2222"/>
        <w:gridCol w:w="2445"/>
        <w:gridCol w:w="1245"/>
        <w:gridCol w:w="1920"/>
        <w:gridCol w:w="1526"/>
      </w:tblGrid>
      <w:tr>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Назва програми, плану, проєкту</w:t>
            </w:r>
          </w:p>
        </w:tc>
        <w:tc>
          <w:tcPr>
            <w:tcW w:w="244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Зміст заходу</w:t>
            </w:r>
          </w:p>
        </w:tc>
        <w:tc>
          <w:tcPr>
            <w:tcW w:w="124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Період реалізації</w:t>
            </w:r>
          </w:p>
        </w:tc>
        <w:tc>
          <w:tcPr>
            <w:tcW w:w="192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Загальна вартість реалізації, з ПДВ, тис.грн.</w:t>
            </w:r>
          </w:p>
        </w:tc>
        <w:tc>
          <w:tcPr>
            <w:tcW w:w="15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4"/>
                <w:szCs w:val="24"/>
              </w:rPr>
            </w:pPr>
            <w:r>
              <w:rPr>
                <w:rFonts w:ascii="Times New Roman" w:hAnsi="Times New Roman"/>
                <w:b/>
                <w:bCs/>
                <w:sz w:val="24"/>
                <w:szCs w:val="24"/>
              </w:rPr>
              <w:t>Встановлена потужність енергії МВт</w:t>
            </w:r>
          </w:p>
        </w:tc>
      </w:tr>
      <w:tr>
        <w:trPr>
          <w:trHeight w:val="27" w:hRule="atLeast"/>
        </w:trPr>
        <w:tc>
          <w:tcPr>
            <w:tcW w:w="388"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1</w:t>
            </w:r>
          </w:p>
        </w:tc>
        <w:tc>
          <w:tcPr>
            <w:tcW w:w="2222"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вікон у соціальному гуртожитку  вул.Центральна,49/1 у м. Покров, Дніпропетровської області</w:t>
            </w:r>
          </w:p>
        </w:tc>
        <w:tc>
          <w:tcPr>
            <w:tcW w:w="244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Заміна вікон на енергозберігаючі для покращення житлово- побутових умов мешканців з метою покращення теплового фонду будівлі</w:t>
            </w:r>
          </w:p>
        </w:tc>
        <w:tc>
          <w:tcPr>
            <w:tcW w:w="1245"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Жовтень 2025</w:t>
            </w:r>
          </w:p>
        </w:tc>
        <w:tc>
          <w:tcPr>
            <w:tcW w:w="1920" w:type="dxa"/>
            <w:tcBorders>
              <w:top w:val="single" w:sz="4" w:space="0" w:color="000000"/>
              <w:start w:val="single" w:sz="4" w:space="0" w:color="000000"/>
              <w:bottom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809,3</w:t>
            </w:r>
          </w:p>
        </w:tc>
        <w:tc>
          <w:tcPr>
            <w:tcW w:w="15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4"/>
                <w:szCs w:val="24"/>
              </w:rPr>
            </w:pPr>
            <w:r>
              <w:rPr>
                <w:rFonts w:ascii="Times New Roman" w:hAnsi="Times New Roman"/>
                <w:sz w:val="24"/>
                <w:szCs w:val="24"/>
              </w:rPr>
              <w:t>-</w:t>
            </w:r>
          </w:p>
        </w:tc>
      </w:tr>
    </w:tbl>
    <w:p>
      <w:pPr>
        <w:sectPr>
          <w:headerReference w:type="default" r:id="rId51"/>
          <w:headerReference w:type="first" r:id="rId52"/>
          <w:type w:val="nextPage"/>
          <w:pgSz w:w="11906" w:h="16838"/>
          <w:pgMar w:left="1701" w:right="850" w:gutter="0" w:header="0" w:top="1134" w:footer="0" w:bottom="1701"/>
          <w:pgNumType w:fmt="decimal"/>
          <w:formProt w:val="false"/>
          <w:textDirection w:val="lrTb"/>
          <w:docGrid w:type="default" w:linePitch="312" w:charSpace="4294961151"/>
        </w:sectPr>
      </w:pPr>
      <w:r>
        <w:br w:type="page"/>
      </w:r>
    </w:p>
    <w:p>
      <w:pPr>
        <w:pStyle w:val="Normal"/>
        <w:spacing w:lineRule="auto" w:line="245"/>
        <w:jc w:val="end"/>
        <w:rPr/>
      </w:pPr>
      <w:r>
        <w:rPr>
          <w:rStyle w:val="Style13"/>
          <w:rFonts w:eastAsia="Century Gothic" w:cs="Century Gothic" w:ascii="Times New Roman" w:hAnsi="Times New Roman"/>
          <w:kern w:val="0"/>
          <w:sz w:val="22"/>
          <w:szCs w:val="22"/>
          <w:lang w:eastAsia="uk-UA"/>
        </w:rPr>
        <w:t>Таблиця 18</w:t>
      </w:r>
    </w:p>
    <w:p>
      <w:pPr>
        <w:pStyle w:val="Normal"/>
        <w:jc w:val="center"/>
        <w:rPr>
          <w:rFonts w:ascii="Times New Roman" w:hAnsi="Times New Roman"/>
          <w:b/>
          <w:color w:val="000000"/>
          <w:sz w:val="22"/>
          <w:szCs w:val="22"/>
        </w:rPr>
      </w:pPr>
      <w:r>
        <w:rPr>
          <w:rFonts w:ascii="Times New Roman" w:hAnsi="Times New Roman"/>
          <w:b/>
          <w:color w:val="000000"/>
          <w:sz w:val="22"/>
          <w:szCs w:val="22"/>
        </w:rPr>
      </w:r>
    </w:p>
    <w:p>
      <w:pPr>
        <w:pStyle w:val="Normal"/>
        <w:jc w:val="center"/>
        <w:rPr>
          <w:rFonts w:ascii="Times New Roman" w:hAnsi="Times New Roman"/>
          <w:color w:val="000000"/>
          <w:sz w:val="22"/>
          <w:szCs w:val="22"/>
        </w:rPr>
      </w:pPr>
      <w:r>
        <w:rPr>
          <w:rFonts w:ascii="Times New Roman" w:hAnsi="Times New Roman"/>
          <w:color w:val="000000"/>
          <w:sz w:val="22"/>
          <w:szCs w:val="22"/>
        </w:rPr>
      </w:r>
    </w:p>
    <w:p>
      <w:pPr>
        <w:pStyle w:val="Normal"/>
        <w:jc w:val="center"/>
        <w:rPr/>
      </w:pPr>
      <w:r>
        <w:rPr>
          <w:rStyle w:val="Style13"/>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5" w:type="dxa"/>
        <w:tblLayout w:type="fixed"/>
        <w:tblCellMar>
          <w:top w:w="55" w:type="dxa"/>
          <w:start w:w="55" w:type="dxa"/>
          <w:bottom w:w="55" w:type="dxa"/>
          <w:end w:w="55" w:type="dxa"/>
        </w:tblCellMar>
      </w:tblPr>
      <w:tblGrid>
        <w:gridCol w:w="1200"/>
        <w:gridCol w:w="835"/>
        <w:gridCol w:w="1221"/>
        <w:gridCol w:w="755"/>
        <w:gridCol w:w="602"/>
        <w:gridCol w:w="1008"/>
        <w:gridCol w:w="953"/>
        <w:gridCol w:w="1334"/>
        <w:gridCol w:w="1249"/>
        <w:gridCol w:w="1179"/>
        <w:gridCol w:w="1235"/>
        <w:gridCol w:w="974"/>
        <w:gridCol w:w="984"/>
        <w:gridCol w:w="1041"/>
      </w:tblGrid>
      <w:tr>
        <w:trPr/>
        <w:tc>
          <w:tcPr>
            <w:tcW w:w="12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8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22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7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 xml:space="preserve">Балансоутримувач </w:t>
            </w:r>
            <w:r>
              <w:rPr>
                <w:rStyle w:val="Style13"/>
                <w:rFonts w:eastAsia="Century Gothic" w:cs="Century Gothic" w:ascii="Times New Roman" w:hAnsi="Times New Roman"/>
                <w:b w:val="false"/>
                <w:bCs w:val="false"/>
                <w:color w:val="000000"/>
                <w:kern w:val="0"/>
                <w:sz w:val="20"/>
                <w:szCs w:val="20"/>
                <w:lang w:eastAsia="uk-UA"/>
              </w:rPr>
              <w:t>ПМКП «ЖИТЛОКОМСЕРВІС»</w:t>
            </w:r>
          </w:p>
        </w:tc>
      </w:tr>
      <w:tr>
        <w:trPr/>
        <w:tc>
          <w:tcPr>
            <w:tcW w:w="1200"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 Центральна,49/1</w:t>
            </w:r>
          </w:p>
        </w:tc>
        <w:tc>
          <w:tcPr>
            <w:tcW w:w="122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1965</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2510,9</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2082,74</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 xml:space="preserve">Централізоване  </w:t>
            </w:r>
          </w:p>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ГК «Нафтогаз України» для приготування їжі</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r>
        <w:trPr/>
        <w:tc>
          <w:tcPr>
            <w:tcW w:w="1200"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 Центральна,49/2</w:t>
            </w:r>
          </w:p>
        </w:tc>
        <w:tc>
          <w:tcPr>
            <w:tcW w:w="122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1965</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2572,0</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2308,4</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ГК «Нафтогаз України» для приготування їжі</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r>
        <w:trPr/>
        <w:tc>
          <w:tcPr>
            <w:tcW w:w="1200"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 Героїв України,13</w:t>
            </w:r>
          </w:p>
        </w:tc>
        <w:tc>
          <w:tcPr>
            <w:tcW w:w="122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1971</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5422,8</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3408,04</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ГК «Нафтогаз України» для приготування їжі</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r>
        <w:trPr/>
        <w:tc>
          <w:tcPr>
            <w:tcW w:w="1200"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гуртожиток</w:t>
            </w:r>
          </w:p>
        </w:tc>
        <w:tc>
          <w:tcPr>
            <w:tcW w:w="835"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Вул. Європейська, 15</w:t>
            </w:r>
          </w:p>
        </w:tc>
        <w:tc>
          <w:tcPr>
            <w:tcW w:w="1221"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Соціальний гуртожиток</w:t>
            </w:r>
          </w:p>
        </w:tc>
        <w:tc>
          <w:tcPr>
            <w:tcW w:w="755"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1962</w:t>
            </w:r>
          </w:p>
        </w:tc>
        <w:tc>
          <w:tcPr>
            <w:tcW w:w="602"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4</w:t>
            </w:r>
          </w:p>
        </w:tc>
        <w:tc>
          <w:tcPr>
            <w:tcW w:w="1008"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2358,4</w:t>
            </w:r>
          </w:p>
        </w:tc>
        <w:tc>
          <w:tcPr>
            <w:tcW w:w="953"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1737,07</w:t>
            </w:r>
          </w:p>
        </w:tc>
        <w:tc>
          <w:tcPr>
            <w:tcW w:w="1334"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Індивідуальне теплопостачання</w:t>
            </w:r>
          </w:p>
        </w:tc>
        <w:tc>
          <w:tcPr>
            <w:tcW w:w="1249"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Централізоване</w:t>
            </w:r>
          </w:p>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ТОВ «Газенерго-Трейд»</w:t>
            </w:r>
          </w:p>
        </w:tc>
        <w:tc>
          <w:tcPr>
            <w:tcW w:w="974"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160</w:t>
            </w:r>
          </w:p>
        </w:tc>
        <w:tc>
          <w:tcPr>
            <w:tcW w:w="984"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ПОСЛУГИ»</w:t>
            </w:r>
          </w:p>
        </w:tc>
        <w:tc>
          <w:tcPr>
            <w:tcW w:w="1041"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0,4</w:t>
            </w:r>
          </w:p>
        </w:tc>
      </w:tr>
    </w:tbl>
    <w:p>
      <w:pPr>
        <w:pStyle w:val="Normal"/>
        <w:spacing w:lineRule="auto" w:line="245"/>
        <w:jc w:val="end"/>
        <w:rPr/>
      </w:pPr>
      <w:r>
        <w:rPr/>
      </w:r>
    </w:p>
    <w:p>
      <w:pPr>
        <w:pStyle w:val="Style34"/>
        <w:widowControl/>
        <w:pBdr/>
        <w:spacing w:before="0" w:after="150"/>
        <w:ind w:firstLine="450" w:start="0" w:end="0"/>
        <w:jc w:val="center"/>
        <w:rPr>
          <w:rStyle w:val="Style13"/>
          <w:rFonts w:ascii="Times New Roman" w:hAnsi="Times New Roman" w:eastAsia="Century Gothic" w:cs="Times New Roman"/>
          <w:b/>
          <w:bCs/>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 xml:space="preserve">Вихідні дані </w:t>
      </w:r>
      <w:r>
        <w:rPr>
          <w:rStyle w:val="Style13"/>
          <w:rFonts w:eastAsia="Century Gothic" w:cs="Century Gothic" w:ascii="Times New Roman" w:hAnsi="Times New Roman"/>
          <w:b/>
          <w:bCs/>
          <w:color w:val="000000"/>
          <w:kern w:val="0"/>
          <w:sz w:val="28"/>
          <w:szCs w:val="28"/>
          <w:lang w:eastAsia="uk-UA"/>
        </w:rPr>
        <w:t>КЗ «МГБ «Надія» ПМР ДО»</w:t>
      </w:r>
      <w:r>
        <w:rPr>
          <w:rStyle w:val="Style13"/>
          <w:rFonts w:eastAsia="Century Gothic" w:cs="Century Gothic" w:ascii="Times New Roman" w:hAnsi="Times New Roman"/>
          <w:b w:val="false"/>
          <w:bCs w:val="false"/>
          <w:color w:val="000000"/>
          <w:kern w:val="0"/>
          <w:sz w:val="28"/>
          <w:szCs w:val="28"/>
          <w:lang w:eastAsia="uk-UA"/>
        </w:rPr>
        <w:t>, що використовувались для розроблення муніципального енергетичного плану</w:t>
      </w:r>
    </w:p>
    <w:p>
      <w:pPr>
        <w:pStyle w:val="Normal"/>
        <w:spacing w:lineRule="auto" w:line="240"/>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t>Таблиця 1</w:t>
      </w:r>
    </w:p>
    <w:p>
      <w:pPr>
        <w:pStyle w:val="Normal"/>
        <w:spacing w:lineRule="auto" w:line="240"/>
        <w:jc w:val="center"/>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t xml:space="preserve"> </w:t>
      </w:r>
      <w:r>
        <w:rPr>
          <w:rFonts w:eastAsia="Times New Roman" w:cs="Times New Roman" w:ascii="Times New Roman" w:hAnsi="Times New Roman"/>
          <w:b w:val="false"/>
          <w:color w:val="auto"/>
          <w:sz w:val="22"/>
          <w:shd w:fill="auto" w:val="clear"/>
        </w:rPr>
        <w:t>Кількість та площа будівель</w:t>
      </w:r>
    </w:p>
    <w:tbl>
      <w:tblPr>
        <w:tblW w:w="9638" w:type="dxa"/>
        <w:jc w:val="start"/>
        <w:tblInd w:w="-5" w:type="dxa"/>
        <w:tblLayout w:type="fixed"/>
        <w:tblCellMar>
          <w:top w:w="0" w:type="dxa"/>
          <w:start w:w="55" w:type="dxa"/>
          <w:bottom w:w="0" w:type="dxa"/>
          <w:end w:w="55" w:type="dxa"/>
        </w:tblCellMar>
      </w:tblPr>
      <w:tblGrid>
        <w:gridCol w:w="1700"/>
        <w:gridCol w:w="1025"/>
        <w:gridCol w:w="1013"/>
        <w:gridCol w:w="1200"/>
        <w:gridCol w:w="1350"/>
        <w:gridCol w:w="1025"/>
        <w:gridCol w:w="1300"/>
        <w:gridCol w:w="1025"/>
      </w:tblGrid>
      <w:tr>
        <w:trPr/>
        <w:tc>
          <w:tcPr>
            <w:tcW w:w="17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
          </w:p>
        </w:tc>
        <w:tc>
          <w:tcPr>
            <w:tcW w:w="1025"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закладів</w:t>
            </w:r>
          </w:p>
        </w:tc>
        <w:tc>
          <w:tcPr>
            <w:tcW w:w="1013"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окремих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власних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tc>
        <w:tc>
          <w:tcPr>
            <w:tcW w:w="12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всього</w:t>
            </w:r>
          </w:p>
        </w:tc>
        <w:tc>
          <w:tcPr>
            <w:tcW w:w="135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Кількість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що опалюються</w:t>
            </w:r>
          </w:p>
        </w:tc>
        <w:tc>
          <w:tcPr>
            <w:tcW w:w="1025"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Площа</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всього м²</w:t>
            </w:r>
          </w:p>
        </w:tc>
        <w:tc>
          <w:tcPr>
            <w:tcW w:w="1300" w:type="dxa"/>
            <w:tcBorders>
              <w:top w:val="single" w:sz="4"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Площа</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що опалюються м²</w:t>
            </w:r>
          </w:p>
        </w:tc>
        <w:tc>
          <w:tcPr>
            <w:tcW w:w="1025" w:type="dxa"/>
            <w:tcBorders>
              <w:top w:val="single" w:sz="4" w:space="0" w:color="000000"/>
              <w:start w:val="single" w:sz="4" w:space="0" w:color="000000"/>
              <w:bottom w:val="single" w:sz="4" w:space="0" w:color="000000"/>
              <w:end w:val="single" w:sz="4"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Площа</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будівель</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займаних,</w:t>
            </w:r>
          </w:p>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всього, %</w:t>
            </w:r>
          </w:p>
        </w:tc>
      </w:tr>
      <w:tr>
        <w:trPr/>
        <w:tc>
          <w:tcPr>
            <w:tcW w:w="17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Times New Roman" w:hAnsi="Times New Roman" w:eastAsia="Times New Roman" w:cs="Times New Roman"/>
                <w:b/>
                <w:color w:val="auto"/>
                <w:sz w:val="20"/>
                <w:shd w:fill="auto" w:val="clear"/>
              </w:rPr>
            </w:pPr>
            <w:r>
              <w:rPr>
                <w:rFonts w:eastAsia="Times New Roman" w:cs="Times New Roman" w:ascii="Times New Roman" w:hAnsi="Times New Roman"/>
                <w:b/>
                <w:color w:val="auto"/>
                <w:sz w:val="20"/>
                <w:shd w:fill="auto" w:val="clear"/>
              </w:rPr>
              <w:t>ЗАКЛАДИ соціального захисту населення</w:t>
            </w:r>
          </w:p>
        </w:tc>
        <w:tc>
          <w:tcPr>
            <w:tcW w:w="1025"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013"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2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35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w:t>
            </w:r>
          </w:p>
        </w:tc>
        <w:tc>
          <w:tcPr>
            <w:tcW w:w="1025"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587,8</w:t>
            </w:r>
          </w:p>
        </w:tc>
        <w:tc>
          <w:tcPr>
            <w:tcW w:w="1300" w:type="dxa"/>
            <w:tcBorders>
              <w:top w:val="single" w:sz="2" w:space="0" w:color="000000"/>
              <w:start w:val="single" w:sz="4" w:space="0" w:color="000000"/>
              <w:bottom w:val="single" w:sz="4" w:space="0" w:color="000000"/>
              <w:end w:val="single" w:sz="2"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291,4</w:t>
            </w:r>
          </w:p>
        </w:tc>
        <w:tc>
          <w:tcPr>
            <w:tcW w:w="1025" w:type="dxa"/>
            <w:tcBorders>
              <w:top w:val="single" w:sz="2" w:space="0" w:color="000000"/>
              <w:start w:val="single" w:sz="4" w:space="0" w:color="000000"/>
              <w:bottom w:val="single" w:sz="4" w:space="0" w:color="000000"/>
              <w:end w:val="single" w:sz="4" w:space="0" w:color="000000"/>
            </w:tcBorders>
            <w:shd w:fill="FFFFFF" w:val="clear"/>
          </w:tcPr>
          <w:p>
            <w:pPr>
              <w:pStyle w:val="Normal"/>
              <w:spacing w:lineRule="auto" w:line="240"/>
              <w:jc w:val="center"/>
              <w:rPr>
                <w:rFonts w:ascii="Calibri" w:hAnsi="Calibri" w:eastAsia="Calibri" w:cs="Calibri"/>
                <w:b w:val="false"/>
                <w:color w:val="auto"/>
                <w:sz w:val="22"/>
                <w:shd w:fill="auto" w:val="clear"/>
              </w:rPr>
            </w:pPr>
            <w:r>
              <w:rPr/>
            </w:r>
          </w:p>
        </w:tc>
      </w:tr>
    </w:tbl>
    <w:p>
      <w:pPr>
        <w:pStyle w:val="Normal"/>
        <w:spacing w:lineRule="auto" w:line="240"/>
        <w:jc w:val="center"/>
        <w:rPr>
          <w:rFonts w:ascii="Calibri" w:hAnsi="Calibri" w:eastAsia="Calibri" w:cs="Calibri"/>
          <w:b w:val="false"/>
          <w:color w:val="auto"/>
          <w:sz w:val="22"/>
          <w:shd w:fill="auto" w:val="clear"/>
        </w:rPr>
      </w:pPr>
      <w:r>
        <w:rPr/>
      </w:r>
    </w:p>
    <w:p>
      <w:pPr>
        <w:pStyle w:val="Normal"/>
        <w:spacing w:lineRule="auto" w:line="264"/>
        <w:jc w:val="end"/>
        <w:rPr>
          <w:rFonts w:ascii="Times New Roman" w:hAnsi="Times New Roman" w:eastAsia="Times New Roman" w:cs="Times New Roman"/>
          <w:b w:val="false"/>
          <w:color w:val="auto"/>
          <w:sz w:val="24"/>
          <w:shd w:fill="auto" w:val="clear"/>
        </w:rPr>
      </w:pPr>
      <w:r>
        <w:rPr>
          <w:rFonts w:eastAsia="Times New Roman" w:cs="Times New Roman" w:ascii="Times New Roman" w:hAnsi="Times New Roman"/>
          <w:b w:val="false"/>
          <w:color w:val="auto"/>
          <w:sz w:val="24"/>
          <w:shd w:fill="auto" w:val="clear"/>
        </w:rPr>
        <w:t xml:space="preserve">Таблиця 2 </w:t>
      </w:r>
    </w:p>
    <w:p>
      <w:pPr>
        <w:pStyle w:val="Normal"/>
        <w:spacing w:lineRule="auto" w:line="240"/>
        <w:jc w:val="center"/>
        <w:rPr>
          <w:rFonts w:ascii="Times New Roman" w:hAnsi="Times New Roman" w:eastAsia="Times New Roman" w:cs="Times New Roman"/>
          <w:b w:val="false"/>
          <w:color w:val="auto"/>
          <w:sz w:val="24"/>
          <w:shd w:fill="auto" w:val="clear"/>
        </w:rPr>
      </w:pPr>
      <w:r>
        <w:rPr>
          <w:rFonts w:eastAsia="Times New Roman" w:cs="Times New Roman" w:ascii="Times New Roman" w:hAnsi="Times New Roman"/>
          <w:b w:val="false"/>
          <w:color w:val="auto"/>
          <w:sz w:val="24"/>
          <w:shd w:fill="auto" w:val="clear"/>
        </w:rPr>
        <w:t>Обсяги споживання енергоресурсів</w:t>
      </w:r>
    </w:p>
    <w:tbl>
      <w:tblPr>
        <w:tblW w:w="9662" w:type="dxa"/>
        <w:jc w:val="start"/>
        <w:tblInd w:w="-5" w:type="dxa"/>
        <w:tblLayout w:type="fixed"/>
        <w:tblCellMar>
          <w:top w:w="0" w:type="dxa"/>
          <w:start w:w="55" w:type="dxa"/>
          <w:bottom w:w="0"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Роки</w:t>
            </w:r>
          </w:p>
        </w:tc>
      </w:tr>
      <w:tr>
        <w:trPr>
          <w:trHeight w:val="26" w:hRule="atLeast"/>
        </w:trPr>
        <w:tc>
          <w:tcPr>
            <w:tcW w:w="18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2022</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2024</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Електроенергія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МВт*год</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26,7</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29,2</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28,6</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Природний газ</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тис.м³</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Теплова енергія на опалення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Гкал</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Дрова</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Тонна</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Вугілля</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Тонна</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Бензин</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 л</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0,3</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0,4</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r>
        <w:trPr>
          <w:trHeight w:val="26" w:hRule="atLeast"/>
        </w:trPr>
        <w:tc>
          <w:tcPr>
            <w:tcW w:w="18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Дизель</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 л</w:t>
            </w:r>
          </w:p>
        </w:tc>
        <w:tc>
          <w:tcPr>
            <w:tcW w:w="1987"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20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0</w:t>
            </w:r>
          </w:p>
        </w:tc>
      </w:tr>
    </w:tbl>
    <w:p>
      <w:pPr>
        <w:pStyle w:val="Normal"/>
        <w:spacing w:lineRule="auto" w:line="240"/>
        <w:jc w:val="end"/>
        <w:rPr>
          <w:rFonts w:ascii="Calibri" w:hAnsi="Calibri" w:eastAsia="Calibri" w:cs="Calibri"/>
          <w:b w:val="false"/>
          <w:color w:val="auto"/>
          <w:sz w:val="22"/>
          <w:shd w:fill="auto" w:val="clear"/>
        </w:rPr>
      </w:pPr>
      <w:r>
        <w:rPr/>
      </w:r>
    </w:p>
    <w:p>
      <w:pPr>
        <w:pStyle w:val="Normal"/>
        <w:spacing w:lineRule="auto" w:line="264"/>
        <w:jc w:val="end"/>
        <w:rPr/>
      </w:pPr>
      <w:r>
        <w:rPr>
          <w:rFonts w:eastAsia="Times New Roman" w:cs="Times New Roman" w:ascii="Times New Roman" w:hAnsi="Times New Roman"/>
          <w:b w:val="false"/>
          <w:color w:val="auto"/>
          <w:sz w:val="24"/>
          <w:shd w:fill="auto" w:val="clear"/>
        </w:rPr>
        <w:t xml:space="preserve">Таблиця </w:t>
      </w:r>
      <w:r>
        <w:rPr>
          <w:rFonts w:eastAsia="Times New Roman" w:cs="Times New Roman" w:ascii="Times New Roman" w:hAnsi="Times New Roman"/>
          <w:b w:val="false"/>
          <w:color w:val="auto"/>
          <w:sz w:val="24"/>
          <w:shd w:fill="auto" w:val="clear"/>
        </w:rPr>
        <w:t>3</w:t>
      </w:r>
    </w:p>
    <w:p>
      <w:pPr>
        <w:pStyle w:val="Normal"/>
        <w:spacing w:lineRule="auto" w:line="240"/>
        <w:jc w:val="center"/>
        <w:rPr>
          <w:rFonts w:ascii="Times New Roman" w:hAnsi="Times New Roman" w:eastAsia="Times New Roman" w:cs="Times New Roman"/>
          <w:b w:val="false"/>
          <w:color w:val="auto"/>
          <w:sz w:val="24"/>
          <w:shd w:fill="auto" w:val="clear"/>
        </w:rPr>
      </w:pPr>
      <w:r>
        <w:rPr>
          <w:rFonts w:eastAsia="Times New Roman" w:cs="Times New Roman" w:ascii="Times New Roman" w:hAnsi="Times New Roman"/>
          <w:b w:val="false"/>
          <w:color w:val="auto"/>
          <w:sz w:val="24"/>
          <w:shd w:fill="auto" w:val="clear"/>
        </w:rPr>
        <w:t>Тарифи на комунальні послуги, грн</w:t>
      </w:r>
    </w:p>
    <w:tbl>
      <w:tblPr>
        <w:tblW w:w="9662" w:type="dxa"/>
        <w:jc w:val="start"/>
        <w:tblInd w:w="-5" w:type="dxa"/>
        <w:tblLayout w:type="fixed"/>
        <w:tblCellMar>
          <w:top w:w="0" w:type="dxa"/>
          <w:start w:w="55" w:type="dxa"/>
          <w:bottom w:w="0"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Роки</w:t>
            </w:r>
          </w:p>
        </w:tc>
      </w:tr>
      <w:tr>
        <w:trPr>
          <w:trHeight w:val="26" w:hRule="atLeast"/>
        </w:trPr>
        <w:tc>
          <w:tcPr>
            <w:tcW w:w="2775" w:type="dxa"/>
            <w:vMerge w:val="continue"/>
            <w:tcBorders>
              <w:top w:val="single" w:sz="4" w:space="0" w:color="000000"/>
              <w:start w:val="single" w:sz="4" w:space="0" w:color="000000"/>
              <w:bottom w:val="single" w:sz="4" w:space="0" w:color="000000"/>
              <w:end w:val="single" w:sz="2"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2023</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2024</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Електроенергія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МВт*год</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5556,81</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6366,27</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9145,39</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Природний газ</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тис.м3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Теплова енергія на опалення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Гкал</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Тверде паливо</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Тонна</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Водопостачання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21,40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21,40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21,40</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Водовідведення</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15,40</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15,40</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15,40</w:t>
            </w:r>
          </w:p>
        </w:tc>
      </w:tr>
      <w:tr>
        <w:trPr>
          <w:trHeight w:val="26" w:hRule="atLeast"/>
        </w:trPr>
        <w:tc>
          <w:tcPr>
            <w:tcW w:w="27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Послуга з управління побутовими відходами</w:t>
            </w:r>
          </w:p>
        </w:tc>
        <w:tc>
          <w:tcPr>
            <w:tcW w:w="1638"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24"/>
                <w:shd w:fill="auto" w:val="clear"/>
              </w:rPr>
            </w:pPr>
            <w:r>
              <w:rPr>
                <w:rFonts w:eastAsia="Times New Roman" w:cs="Times New Roman" w:ascii="Times New Roman" w:hAnsi="Times New Roman"/>
                <w:b/>
                <w:color w:val="auto"/>
                <w:sz w:val="24"/>
                <w:shd w:fill="auto" w:val="clear"/>
              </w:rPr>
              <w:t>м3</w:t>
            </w:r>
          </w:p>
        </w:tc>
        <w:tc>
          <w:tcPr>
            <w:tcW w:w="19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235,12</w:t>
            </w:r>
          </w:p>
        </w:tc>
        <w:tc>
          <w:tcPr>
            <w:tcW w:w="160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237,87</w:t>
            </w:r>
          </w:p>
        </w:tc>
        <w:tc>
          <w:tcPr>
            <w:tcW w:w="1724" w:type="dxa"/>
            <w:tcBorders>
              <w:top w:val="single" w:sz="2" w:space="0" w:color="000000"/>
              <w:start w:val="single" w:sz="4" w:space="0" w:color="000000"/>
              <w:bottom w:val="single" w:sz="4" w:space="0" w:color="000000"/>
              <w:end w:val="single" w:sz="4" w:space="0" w:color="000000"/>
            </w:tcBorders>
          </w:tcPr>
          <w:p>
            <w:pPr>
              <w:pStyle w:val="Normal"/>
              <w:spacing w:lineRule="auto" w:line="240"/>
              <w:jc w:val="center"/>
              <w:rPr>
                <w:rFonts w:ascii="Calibri" w:hAnsi="Calibri" w:eastAsia="Calibri" w:cs="Calibri"/>
                <w:b w:val="false"/>
                <w:color w:val="auto"/>
                <w:sz w:val="22"/>
                <w:shd w:fill="auto" w:val="clear"/>
              </w:rPr>
            </w:pPr>
            <w:r>
              <w:rPr>
                <w:rFonts w:eastAsia="Calibri" w:cs="Calibri" w:ascii="Calibri" w:hAnsi="Calibri"/>
                <w:b w:val="false"/>
                <w:color w:val="auto"/>
                <w:sz w:val="22"/>
                <w:shd w:fill="auto" w:val="clear"/>
              </w:rPr>
              <w:t>249,72</w:t>
            </w:r>
          </w:p>
        </w:tc>
      </w:tr>
    </w:tbl>
    <w:p>
      <w:pPr>
        <w:pStyle w:val="Normal"/>
        <w:spacing w:lineRule="auto" w:line="240"/>
        <w:jc w:val="end"/>
        <w:rPr>
          <w:rFonts w:ascii="Calibri" w:hAnsi="Calibri" w:eastAsia="Calibri" w:cs="Calibri"/>
          <w:b w:val="false"/>
          <w:color w:val="auto"/>
          <w:sz w:val="22"/>
          <w:shd w:fill="auto" w:val="clear"/>
        </w:rPr>
      </w:pPr>
      <w:r>
        <w:rPr/>
      </w:r>
    </w:p>
    <w:p>
      <w:pPr>
        <w:pStyle w:val="Normal"/>
        <w:spacing w:lineRule="auto" w:line="240" w:before="160" w:after="0"/>
        <w:jc w:val="end"/>
        <w:rPr>
          <w:rFonts w:ascii="Calibri" w:hAnsi="Calibri" w:eastAsia="Calibri" w:cs="Calibri"/>
          <w:b w:val="false"/>
          <w:color w:val="auto"/>
          <w:sz w:val="22"/>
          <w:shd w:fill="auto" w:val="clear"/>
        </w:rPr>
      </w:pPr>
      <w:r>
        <w:rPr/>
      </w:r>
    </w:p>
    <w:p>
      <w:pPr>
        <w:pStyle w:val="Normal"/>
        <w:spacing w:lineRule="auto" w:line="240" w:before="160" w:after="0"/>
        <w:jc w:val="end"/>
        <w:rPr>
          <w:rFonts w:ascii="Calibri" w:hAnsi="Calibri" w:eastAsia="Calibri" w:cs="Calibri"/>
          <w:b w:val="false"/>
          <w:color w:val="auto"/>
          <w:sz w:val="22"/>
          <w:shd w:fill="auto" w:val="clear"/>
        </w:rPr>
      </w:pPr>
      <w:r>
        <w:rPr/>
      </w:r>
    </w:p>
    <w:p>
      <w:pPr>
        <w:pStyle w:val="Normal"/>
        <w:spacing w:lineRule="auto" w:line="240" w:before="160" w:after="0"/>
        <w:jc w:val="end"/>
        <w:rPr>
          <w:rFonts w:ascii="Times New Roman" w:hAnsi="Times New Roman" w:eastAsia="Times New Roman" w:cs="Times New Roman"/>
          <w:b w:val="false"/>
          <w:color w:val="auto"/>
          <w:sz w:val="22"/>
          <w:shd w:fill="auto" w:val="clear"/>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t xml:space="preserve">Таблиця </w:t>
      </w:r>
      <w:r>
        <w:rPr>
          <w:rFonts w:eastAsia="Times New Roman" w:cs="Times New Roman" w:ascii="Times New Roman" w:hAnsi="Times New Roman"/>
          <w:b w:val="false"/>
          <w:color w:val="auto"/>
          <w:sz w:val="22"/>
          <w:shd w:fill="auto" w:val="clear"/>
        </w:rPr>
        <w:t>4</w:t>
      </w:r>
      <w:r>
        <w:rPr>
          <w:rFonts w:eastAsia="Times New Roman" w:cs="Times New Roman" w:ascii="Times New Roman" w:hAnsi="Times New Roman"/>
          <w:b w:val="false"/>
          <w:color w:val="auto"/>
          <w:sz w:val="22"/>
          <w:shd w:fill="auto" w:val="clear"/>
        </w:rPr>
        <w:t xml:space="preserve"> </w:t>
      </w:r>
    </w:p>
    <w:p>
      <w:pPr>
        <w:pStyle w:val="Normal"/>
        <w:spacing w:lineRule="auto" w:line="240"/>
        <w:jc w:val="center"/>
        <w:rPr>
          <w:rFonts w:ascii="Calibri" w:hAnsi="Calibri" w:eastAsia="Calibri" w:cs="Calibri"/>
          <w:b w:val="false"/>
          <w:color w:val="auto"/>
          <w:sz w:val="22"/>
          <w:shd w:fill="auto" w:val="clear"/>
        </w:rPr>
      </w:pPr>
      <w:r>
        <w:rPr/>
      </w:r>
    </w:p>
    <w:p>
      <w:pPr>
        <w:pStyle w:val="Normal"/>
        <w:spacing w:lineRule="auto" w:line="240"/>
        <w:jc w:val="center"/>
        <w:rPr>
          <w:rFonts w:ascii="Times New Roman" w:hAnsi="Times New Roman" w:eastAsia="Times New Roman" w:cs="Times New Roman"/>
          <w:b w:val="false"/>
          <w:color w:val="000000"/>
          <w:sz w:val="22"/>
          <w:shd w:fill="auto" w:val="clear"/>
        </w:rPr>
      </w:pPr>
      <w:r>
        <w:rPr>
          <w:rFonts w:eastAsia="Times New Roman" w:cs="Times New Roman" w:ascii="Times New Roman" w:hAnsi="Times New Roman"/>
          <w:b w:val="false"/>
          <w:color w:val="000000"/>
          <w:sz w:val="22"/>
          <w:shd w:fill="auto" w:val="clear"/>
        </w:rPr>
        <w:t>Характеристики будівель комунальних підприємств, установ (закладів) та організацій</w:t>
      </w:r>
    </w:p>
    <w:tbl>
      <w:tblPr>
        <w:tblW w:w="14569" w:type="dxa"/>
        <w:jc w:val="start"/>
        <w:tblInd w:w="-5" w:type="dxa"/>
        <w:tblLayout w:type="fixed"/>
        <w:tblCellMar>
          <w:top w:w="0" w:type="dxa"/>
          <w:start w:w="55" w:type="dxa"/>
          <w:bottom w:w="0" w:type="dxa"/>
          <w:end w:w="55" w:type="dxa"/>
        </w:tblCellMar>
      </w:tblPr>
      <w:tblGrid>
        <w:gridCol w:w="1425"/>
        <w:gridCol w:w="1695"/>
        <w:gridCol w:w="960"/>
        <w:gridCol w:w="735"/>
        <w:gridCol w:w="750"/>
        <w:gridCol w:w="675"/>
        <w:gridCol w:w="960"/>
        <w:gridCol w:w="960"/>
        <w:gridCol w:w="1305"/>
        <w:gridCol w:w="1305"/>
        <w:gridCol w:w="1245"/>
        <w:gridCol w:w="915"/>
        <w:gridCol w:w="675"/>
        <w:gridCol w:w="964"/>
      </w:tblGrid>
      <w:tr>
        <w:trPr/>
        <w:tc>
          <w:tcPr>
            <w:tcW w:w="142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Назва об'єкту</w:t>
            </w:r>
          </w:p>
        </w:tc>
        <w:tc>
          <w:tcPr>
            <w:tcW w:w="169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Адреса будівлі</w:t>
            </w:r>
          </w:p>
        </w:tc>
        <w:tc>
          <w:tcPr>
            <w:tcW w:w="96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Функціональне призначення</w:t>
            </w:r>
          </w:p>
        </w:tc>
        <w:tc>
          <w:tcPr>
            <w:tcW w:w="73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Рік прийняття в експлуатацію</w:t>
            </w:r>
          </w:p>
        </w:tc>
        <w:tc>
          <w:tcPr>
            <w:tcW w:w="75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Кіль-кість поверхів</w:t>
            </w:r>
          </w:p>
        </w:tc>
        <w:tc>
          <w:tcPr>
            <w:tcW w:w="67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Загальна площа будівлі, м2;</w:t>
            </w:r>
          </w:p>
        </w:tc>
        <w:tc>
          <w:tcPr>
            <w:tcW w:w="96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Опалю-вальна/охолоджувальна площа будівлі (м2)</w:t>
            </w:r>
          </w:p>
        </w:tc>
        <w:tc>
          <w:tcPr>
            <w:tcW w:w="960"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тепло-</w:t>
            </w:r>
          </w:p>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постачання</w:t>
            </w:r>
          </w:p>
        </w:tc>
        <w:tc>
          <w:tcPr>
            <w:tcW w:w="130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постачання гарячої води</w:t>
            </w:r>
          </w:p>
        </w:tc>
        <w:tc>
          <w:tcPr>
            <w:tcW w:w="130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водопос-тачання</w:t>
            </w:r>
          </w:p>
        </w:tc>
        <w:tc>
          <w:tcPr>
            <w:tcW w:w="124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джерела постачання газа</w:t>
            </w:r>
          </w:p>
        </w:tc>
        <w:tc>
          <w:tcPr>
            <w:tcW w:w="91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Інформація щодо встанов-леної потуж-ності тепло-генеруючої установки (котлів), кВт</w:t>
            </w:r>
          </w:p>
        </w:tc>
        <w:tc>
          <w:tcPr>
            <w:tcW w:w="675" w:type="dxa"/>
            <w:tcBorders>
              <w:top w:val="single" w:sz="4"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 xml:space="preserve"> </w:t>
            </w:r>
            <w:r>
              <w:rPr>
                <w:rFonts w:eastAsia="Times New Roman" w:cs="Times New Roman" w:ascii="Times New Roman" w:hAnsi="Times New Roman"/>
                <w:b/>
                <w:color w:val="auto"/>
                <w:sz w:val="16"/>
                <w:shd w:fill="auto" w:val="clear"/>
              </w:rPr>
              <w:t>Інформація щодо джерела постачання електричної енергії</w:t>
            </w:r>
          </w:p>
        </w:tc>
        <w:tc>
          <w:tcPr>
            <w:tcW w:w="964" w:type="dxa"/>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eastAsia="Times New Roman" w:cs="Times New Roman"/>
                <w:b/>
                <w:color w:val="auto"/>
                <w:sz w:val="16"/>
                <w:shd w:fill="auto" w:val="clear"/>
              </w:rPr>
            </w:pPr>
            <w:r>
              <w:rPr>
                <w:rFonts w:eastAsia="Times New Roman" w:cs="Times New Roman" w:ascii="Times New Roman" w:hAnsi="Times New Roman"/>
                <w:b/>
                <w:color w:val="auto"/>
                <w:sz w:val="16"/>
                <w:shd w:fill="auto" w:val="clear"/>
              </w:rPr>
              <w:t>Розрахункове електричне навантаження кВт (відповідно до договорів)</w:t>
            </w:r>
          </w:p>
        </w:tc>
      </w:tr>
      <w:tr>
        <w:trPr/>
        <w:tc>
          <w:tcPr>
            <w:tcW w:w="14569" w:type="dxa"/>
            <w:gridSpan w:val="14"/>
            <w:tcBorders>
              <w:top w:val="single" w:sz="2" w:space="0" w:color="000000"/>
              <w:start w:val="single" w:sz="4" w:space="0" w:color="000000"/>
              <w:bottom w:val="single" w:sz="4" w:space="0" w:color="000000"/>
              <w:end w:val="single" w:sz="4" w:space="0" w:color="000000"/>
            </w:tcBorders>
          </w:tcPr>
          <w:p>
            <w:pPr>
              <w:pStyle w:val="Normal"/>
              <w:spacing w:lineRule="auto" w:line="240"/>
              <w:jc w:val="start"/>
              <w:rPr>
                <w:rFonts w:ascii="Times New Roman" w:hAnsi="Times New Roman" w:eastAsia="Times New Roman" w:cs="Times New Roman"/>
                <w:b w:val="false"/>
                <w:color w:val="auto"/>
                <w:sz w:val="20"/>
                <w:shd w:fill="auto" w:val="clear"/>
              </w:rPr>
            </w:pPr>
            <w:r>
              <w:rPr>
                <w:rFonts w:eastAsia="Times New Roman" w:cs="Times New Roman" w:ascii="Times New Roman" w:hAnsi="Times New Roman"/>
                <w:b w:val="false"/>
                <w:color w:val="auto"/>
                <w:sz w:val="20"/>
                <w:shd w:fill="auto" w:val="clear"/>
              </w:rPr>
              <w:t xml:space="preserve">Балансоутримувач (назва) </w:t>
            </w:r>
            <w:r>
              <w:rPr>
                <w:rStyle w:val="Style13"/>
                <w:rFonts w:eastAsia="Century Gothic" w:cs="Century Gothic" w:ascii="Times New Roman" w:hAnsi="Times New Roman"/>
                <w:b w:val="false"/>
                <w:bCs w:val="false"/>
                <w:color w:val="000000"/>
                <w:kern w:val="0"/>
                <w:sz w:val="20"/>
                <w:szCs w:val="20"/>
                <w:shd w:fill="auto" w:val="clear"/>
                <w:lang w:eastAsia="uk-UA"/>
              </w:rPr>
              <w:t>КЗ «МГБ «Надія» ПМР ДО»</w:t>
            </w:r>
          </w:p>
        </w:tc>
      </w:tr>
      <w:tr>
        <w:trPr/>
        <w:tc>
          <w:tcPr>
            <w:tcW w:w="142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Комунальний заклад "Малий груповий будинок "Надія" Покровської міської ради Дніпропетровської області"</w:t>
            </w:r>
          </w:p>
        </w:tc>
        <w:tc>
          <w:tcPr>
            <w:tcW w:w="169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Дніпропетровська обл., Нікопльський р-н, м.Покров, вул.Центральна, б.3</w:t>
            </w:r>
          </w:p>
        </w:tc>
        <w:tc>
          <w:tcPr>
            <w:tcW w:w="960"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малий груповий будинок</w:t>
            </w:r>
          </w:p>
        </w:tc>
        <w:tc>
          <w:tcPr>
            <w:tcW w:w="73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2020</w:t>
            </w:r>
          </w:p>
        </w:tc>
        <w:tc>
          <w:tcPr>
            <w:tcW w:w="750" w:type="dxa"/>
            <w:tcBorders>
              <w:top w:val="single" w:sz="2" w:space="0" w:color="000000"/>
              <w:start w:val="single" w:sz="4" w:space="0" w:color="000000"/>
              <w:bottom w:val="single" w:sz="4" w:space="0" w:color="000000"/>
              <w:end w:val="single" w:sz="2" w:space="0" w:color="000000"/>
            </w:tcBorders>
          </w:tcPr>
          <w:p>
            <w:pPr>
              <w:pStyle w:val="Normal"/>
              <w:spacing w:lineRule="auto" w:line="240"/>
              <w:jc w:val="center"/>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1</w:t>
            </w:r>
          </w:p>
        </w:tc>
        <w:tc>
          <w:tcPr>
            <w:tcW w:w="6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587,8</w:t>
            </w:r>
          </w:p>
        </w:tc>
        <w:tc>
          <w:tcPr>
            <w:tcW w:w="960"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294,4</w:t>
            </w:r>
          </w:p>
        </w:tc>
        <w:tc>
          <w:tcPr>
            <w:tcW w:w="960"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електрокотел</w:t>
            </w:r>
          </w:p>
        </w:tc>
        <w:tc>
          <w:tcPr>
            <w:tcW w:w="130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електричні водонагрівачі</w:t>
            </w:r>
          </w:p>
        </w:tc>
        <w:tc>
          <w:tcPr>
            <w:tcW w:w="130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централізоване</w:t>
            </w:r>
          </w:p>
        </w:tc>
        <w:tc>
          <w:tcPr>
            <w:tcW w:w="124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ascii="Times New Roman" w:hAnsi="Times New Roman" w:eastAsia="Calibri" w:cs="Calibri"/>
                <w:b w:val="false"/>
                <w:color w:val="auto"/>
                <w:sz w:val="20"/>
                <w:shd w:fill="auto" w:val="clear"/>
              </w:rPr>
            </w:pPr>
            <w:r>
              <w:rPr>
                <w:rFonts w:eastAsia="Calibri" w:cs="Calibri" w:ascii="Times New Roman" w:hAnsi="Times New Roman"/>
                <w:b w:val="false"/>
                <w:color w:val="auto"/>
                <w:sz w:val="20"/>
                <w:shd w:fill="auto" w:val="clear"/>
              </w:rPr>
              <w:t>відсутня</w:t>
            </w:r>
          </w:p>
        </w:tc>
        <w:tc>
          <w:tcPr>
            <w:tcW w:w="91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eastAsia="Calibri" w:cs="Calibri"/>
                <w:b w:val="false"/>
                <w:color w:val="auto"/>
                <w:sz w:val="20"/>
                <w:shd w:fill="auto" w:val="clear"/>
              </w:rPr>
            </w:pPr>
            <w:r>
              <w:rPr>
                <w:rFonts w:ascii="Times New Roman" w:hAnsi="Times New Roman"/>
              </w:rPr>
            </w:r>
          </w:p>
        </w:tc>
        <w:tc>
          <w:tcPr>
            <w:tcW w:w="675" w:type="dxa"/>
            <w:tcBorders>
              <w:top w:val="single" w:sz="2" w:space="0" w:color="000000"/>
              <w:start w:val="single" w:sz="4" w:space="0" w:color="000000"/>
              <w:bottom w:val="single" w:sz="4" w:space="0" w:color="000000"/>
              <w:end w:val="single" w:sz="2" w:space="0" w:color="000000"/>
            </w:tcBorders>
          </w:tcPr>
          <w:p>
            <w:pPr>
              <w:pStyle w:val="Normal"/>
              <w:spacing w:lineRule="auto" w:line="240"/>
              <w:jc w:val="start"/>
              <w:rPr>
                <w:rFonts w:eastAsia="Calibri" w:cs="Calibri"/>
                <w:b w:val="false"/>
                <w:color w:val="auto"/>
                <w:sz w:val="20"/>
                <w:shd w:fill="auto" w:val="clear"/>
              </w:rPr>
            </w:pPr>
            <w:r>
              <w:rPr>
                <w:rFonts w:ascii="Times New Roman" w:hAnsi="Times New Roman"/>
              </w:rPr>
            </w:r>
          </w:p>
        </w:tc>
        <w:tc>
          <w:tcPr>
            <w:tcW w:w="964" w:type="dxa"/>
            <w:tcBorders>
              <w:top w:val="single" w:sz="2" w:space="0" w:color="000000"/>
              <w:start w:val="single" w:sz="4" w:space="0" w:color="000000"/>
              <w:bottom w:val="single" w:sz="4" w:space="0" w:color="000000"/>
              <w:end w:val="single" w:sz="4" w:space="0" w:color="000000"/>
            </w:tcBorders>
          </w:tcPr>
          <w:p>
            <w:pPr>
              <w:pStyle w:val="Normal"/>
              <w:spacing w:lineRule="auto" w:line="240"/>
              <w:jc w:val="start"/>
              <w:rPr>
                <w:rFonts w:eastAsia="Calibri" w:cs="Calibri"/>
                <w:b w:val="false"/>
                <w:color w:val="auto"/>
                <w:sz w:val="20"/>
                <w:shd w:fill="auto" w:val="clear"/>
              </w:rPr>
            </w:pPr>
            <w:r>
              <w:rPr>
                <w:rFonts w:ascii="Times New Roman" w:hAnsi="Times New Roman"/>
              </w:rPr>
            </w:r>
          </w:p>
        </w:tc>
      </w:tr>
    </w:tbl>
    <w:p>
      <w:pPr>
        <w:pStyle w:val="Normal"/>
        <w:spacing w:lineRule="auto" w:line="264"/>
        <w:jc w:val="end"/>
        <w:rPr>
          <w:rFonts w:ascii="Calibri" w:hAnsi="Calibri" w:eastAsia="Calibri" w:cs="Calibri"/>
          <w:b w:val="false"/>
          <w:color w:val="auto"/>
          <w:sz w:val="22"/>
          <w:shd w:fill="auto" w:val="clear"/>
        </w:rPr>
      </w:pPr>
      <w:r>
        <w:rPr/>
      </w:r>
    </w:p>
    <w:p>
      <w:pPr>
        <w:pStyle w:val="Normal"/>
        <w:spacing w:lineRule="auto" w:line="240"/>
        <w:ind w:firstLine="348" w:start="360"/>
        <w:jc w:val="end"/>
        <w:rPr>
          <w:rFonts w:ascii="Calibri" w:hAnsi="Calibri" w:eastAsia="Calibri" w:cs="Calibri"/>
          <w:b w:val="false"/>
          <w:color w:val="auto"/>
          <w:sz w:val="22"/>
          <w:shd w:fill="auto" w:val="clear"/>
        </w:rPr>
      </w:pPr>
      <w: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Times New Roman" w:cs="Times New Roman"/>
          <w:b w:val="false"/>
          <w:color w:val="auto"/>
          <w:sz w:val="22"/>
          <w:shd w:fill="auto" w:val="clear"/>
        </w:rPr>
      </w:pPr>
      <w:r>
        <w:rPr>
          <w:rFonts w:eastAsia="Times New Roman" w:cs="Times New Roman" w:ascii="Times New Roman" w:hAnsi="Times New Roman"/>
          <w:b w:val="false"/>
          <w:color w:val="auto"/>
          <w:sz w:val="22"/>
          <w:shd w:fill="auto" w:val="clear"/>
        </w:rPr>
      </w:r>
    </w:p>
    <w:p>
      <w:pPr>
        <w:pStyle w:val="Normal"/>
        <w:spacing w:lineRule="auto" w:line="264"/>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53"/>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Територіального центру СО ПМР ДО, що використовувались для розроблення муніципального енергетичного плану</w:t>
      </w:r>
    </w:p>
    <w:p>
      <w:pPr>
        <w:pStyle w:val="Normal"/>
        <w:jc w:val="end"/>
        <w:rPr>
          <w:rFonts w:ascii="Times New Roman" w:hAnsi="Times New Roman"/>
          <w:sz w:val="22"/>
          <w:szCs w:val="22"/>
        </w:rPr>
      </w:pPr>
      <w:r>
        <w:rPr>
          <w:rFonts w:ascii="Times New Roman" w:hAnsi="Times New Roman"/>
          <w:sz w:val="22"/>
          <w:szCs w:val="22"/>
        </w:rPr>
      </w:r>
    </w:p>
    <w:p>
      <w:pPr>
        <w:pStyle w:val="Normal"/>
        <w:jc w:val="end"/>
        <w:rPr>
          <w:rFonts w:ascii="Times New Roman" w:hAnsi="Times New Roman"/>
          <w:sz w:val="22"/>
          <w:szCs w:val="22"/>
        </w:rPr>
      </w:pPr>
      <w:r>
        <w:rPr>
          <w:rFonts w:ascii="Times New Roman" w:hAnsi="Times New Roman"/>
          <w:sz w:val="22"/>
          <w:szCs w:val="22"/>
        </w:rPr>
        <w:t>Таблиця 1</w:t>
      </w:r>
    </w:p>
    <w:p>
      <w:pPr>
        <w:pStyle w:val="Normal"/>
        <w:jc w:val="center"/>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Кількість та площа</w:t>
      </w:r>
    </w:p>
    <w:tbl>
      <w:tblPr>
        <w:tblW w:w="9638" w:type="dxa"/>
        <w:jc w:val="start"/>
        <w:tblInd w:w="40" w:type="dxa"/>
        <w:tblLayout w:type="fixed"/>
        <w:tblCellMar>
          <w:top w:w="55" w:type="dxa"/>
          <w:start w:w="55" w:type="dxa"/>
          <w:bottom w:w="55" w:type="dxa"/>
          <w:end w:w="55" w:type="dxa"/>
        </w:tblCellMar>
      </w:tblPr>
      <w:tblGrid>
        <w:gridCol w:w="1700"/>
        <w:gridCol w:w="1025"/>
        <w:gridCol w:w="1013"/>
        <w:gridCol w:w="1200"/>
        <w:gridCol w:w="1350"/>
        <w:gridCol w:w="1025"/>
        <w:gridCol w:w="1300"/>
        <w:gridCol w:w="1025"/>
      </w:tblGrid>
      <w:tr>
        <w:trPr/>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всього м</w:t>
            </w:r>
            <w:r>
              <w:rPr>
                <w:rStyle w:val="Style13"/>
                <w:rFonts w:eastAsia="Times New Roman" w:cs="Times New Roman" w:ascii="Times New Roman" w:hAnsi="Times New Roman"/>
                <w:b/>
                <w:bCs/>
                <w:sz w:val="20"/>
                <w:szCs w:val="20"/>
              </w:rPr>
              <w:t>²</w:t>
            </w:r>
          </w:p>
        </w:tc>
        <w:tc>
          <w:tcPr>
            <w:tcW w:w="13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що опалюються м</w:t>
            </w:r>
            <w:r>
              <w:rPr>
                <w:rStyle w:val="Style13"/>
                <w:rFonts w:eastAsia="Times New Roman" w:cs="Times New Roman" w:ascii="Times New Roman" w:hAnsi="Times New Roman"/>
                <w:b/>
                <w:bCs/>
                <w:sz w:val="20"/>
                <w:szCs w:val="20"/>
              </w:rPr>
              <w:t>²</w:t>
            </w:r>
          </w:p>
        </w:tc>
        <w:tc>
          <w:tcPr>
            <w:tcW w:w="10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700"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1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0</w:t>
            </w:r>
          </w:p>
        </w:tc>
        <w:tc>
          <w:tcPr>
            <w:tcW w:w="12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35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578,50</w:t>
            </w:r>
          </w:p>
        </w:tc>
        <w:tc>
          <w:tcPr>
            <w:tcW w:w="13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428,90</w:t>
            </w:r>
          </w:p>
        </w:tc>
        <w:tc>
          <w:tcPr>
            <w:tcW w:w="10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bl>
    <w:p>
      <w:pPr>
        <w:pStyle w:val="Normal"/>
        <w:jc w:val="center"/>
        <w:rPr>
          <w:rFonts w:ascii="Times New Roman" w:hAnsi="Times New Roman"/>
          <w:sz w:val="22"/>
          <w:szCs w:val="22"/>
        </w:rPr>
      </w:pPr>
      <w:r>
        <w:rPr>
          <w:rFonts w:ascii="Times New Roman" w:hAnsi="Times New Roman"/>
          <w:sz w:val="22"/>
          <w:szCs w:val="22"/>
        </w:rPr>
      </w:r>
    </w:p>
    <w:p>
      <w:pPr>
        <w:pStyle w:val="Normal"/>
        <w:spacing w:lineRule="auto" w:line="252"/>
        <w:jc w:val="end"/>
        <w:rPr/>
      </w:pPr>
      <w:r>
        <w:rPr>
          <w:rStyle w:val="Style13"/>
          <w:rFonts w:eastAsia="Century Gothic" w:cs="Century Gothic" w:ascii="Times New Roman" w:hAnsi="Times New Roman"/>
          <w:kern w:val="0"/>
          <w:lang w:eastAsia="uk-UA"/>
        </w:rPr>
        <w:t>Таблиця 2</w:t>
      </w:r>
    </w:p>
    <w:p>
      <w:pPr>
        <w:pStyle w:val="Normal"/>
        <w:jc w:val="center"/>
        <w:rPr>
          <w:rFonts w:ascii="Times New Roman" w:hAnsi="Times New Roman"/>
        </w:rPr>
      </w:pPr>
      <w:r>
        <w:rPr>
          <w:rFonts w:ascii="Times New Roman" w:hAnsi="Times New Roman"/>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1875" w:type="dxa"/>
            <w:vMerge w:val="continue"/>
            <w:tcBorders>
              <w:top w:val="single" w:sz="4" w:space="0" w:color="000000"/>
              <w:start w:val="single" w:sz="4" w:space="0" w:color="000000"/>
              <w:bottom w:val="single" w:sz="4"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11685,13</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9158</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5843</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2038" w:type="dxa"/>
            <w:tcBorders>
              <w:start w:val="single" w:sz="4" w:space="0" w:color="000000"/>
              <w:bottom w:val="single" w:sz="4" w:space="0" w:color="000000"/>
            </w:tcBorders>
          </w:tcPr>
          <w:p>
            <w:pPr>
              <w:pStyle w:val="Style20"/>
              <w:jc w:val="center"/>
              <w:rPr/>
            </w:pPr>
            <w:r>
              <w:rPr>
                <w:rStyle w:val="Style13"/>
                <w:rFonts w:ascii="Times New Roman" w:hAnsi="Times New Roman"/>
                <w:b/>
                <w:bCs/>
              </w:rPr>
              <w:t>тис.м</w:t>
            </w:r>
            <w:r>
              <w:rPr>
                <w:rStyle w:val="Style13"/>
                <w:rFonts w:eastAsia="Times New Roman" w:cs="Times New Roman" w:ascii="Times New Roman" w:hAnsi="Times New Roman"/>
                <w:b/>
                <w:bCs/>
              </w:rPr>
              <w:t>³</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16,0680</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16,532</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16,9260</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Дрова</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Вугілля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Бензин</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Дизель</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ascii="Times New Roman" w:hAnsi="Times New Roman"/>
        </w:rPr>
      </w:r>
    </w:p>
    <w:p>
      <w:pPr>
        <w:pStyle w:val="Normal"/>
        <w:spacing w:lineRule="auto" w:line="252"/>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3</w:t>
      </w:r>
    </w:p>
    <w:p>
      <w:pPr>
        <w:pStyle w:val="Normal"/>
        <w:jc w:val="center"/>
        <w:rPr>
          <w:rFonts w:ascii="Times New Roman" w:hAnsi="Times New Roman"/>
        </w:rPr>
      </w:pPr>
      <w:r>
        <w:rPr>
          <w:rFonts w:ascii="Times New Roman" w:hAnsi="Times New Roman"/>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5,7805</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6,0605</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8,2944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3498,8598</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4332,68</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5788,88</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Тверде паливо</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21,40</w:t>
            </w:r>
          </w:p>
        </w:tc>
        <w:tc>
          <w:tcPr>
            <w:tcW w:w="1600" w:type="dxa"/>
            <w:tcBorders>
              <w:start w:val="single" w:sz="4" w:space="0" w:color="000000"/>
              <w:bottom w:val="single" w:sz="4" w:space="0" w:color="000000"/>
            </w:tcBorders>
          </w:tcPr>
          <w:p>
            <w:pPr>
              <w:pStyle w:val="Style34"/>
              <w:jc w:val="center"/>
              <w:rPr/>
            </w:pPr>
            <w:r>
              <w:rPr/>
              <w:t>21,40</w:t>
            </w:r>
          </w:p>
        </w:tc>
        <w:tc>
          <w:tcPr>
            <w:tcW w:w="1724" w:type="dxa"/>
            <w:tcBorders>
              <w:start w:val="single" w:sz="4" w:space="0" w:color="000000"/>
              <w:bottom w:val="single" w:sz="4" w:space="0" w:color="000000"/>
              <w:end w:val="single" w:sz="4" w:space="0" w:color="000000"/>
            </w:tcBorders>
          </w:tcPr>
          <w:p>
            <w:pPr>
              <w:pStyle w:val="Style34"/>
              <w:jc w:val="center"/>
              <w:rPr/>
            </w:pPr>
            <w:r>
              <w:rPr/>
              <w:t>21,40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15,40</w:t>
            </w:r>
          </w:p>
        </w:tc>
        <w:tc>
          <w:tcPr>
            <w:tcW w:w="1600" w:type="dxa"/>
            <w:tcBorders>
              <w:start w:val="single" w:sz="4" w:space="0" w:color="000000"/>
              <w:bottom w:val="single" w:sz="4" w:space="0" w:color="000000"/>
            </w:tcBorders>
          </w:tcPr>
          <w:p>
            <w:pPr>
              <w:pStyle w:val="Style34"/>
              <w:jc w:val="center"/>
              <w:rPr/>
            </w:pPr>
            <w:r>
              <w:rPr/>
              <w:t>15,40</w:t>
            </w:r>
          </w:p>
        </w:tc>
        <w:tc>
          <w:tcPr>
            <w:tcW w:w="1724" w:type="dxa"/>
            <w:tcBorders>
              <w:start w:val="single" w:sz="4" w:space="0" w:color="000000"/>
              <w:bottom w:val="single" w:sz="4" w:space="0" w:color="000000"/>
              <w:end w:val="single" w:sz="4" w:space="0" w:color="000000"/>
            </w:tcBorders>
          </w:tcPr>
          <w:p>
            <w:pPr>
              <w:pStyle w:val="Style34"/>
              <w:jc w:val="center"/>
              <w:rPr/>
            </w:pPr>
            <w:r>
              <w:rPr/>
              <w:t>15,40</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233,84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239,987</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249,72</w:t>
            </w:r>
          </w:p>
        </w:tc>
      </w:tr>
    </w:tbl>
    <w:p>
      <w:pPr>
        <w:pStyle w:val="Normal"/>
        <w:spacing w:before="160" w:after="0"/>
        <w:jc w:val="end"/>
        <w:rPr>
          <w:sz w:val="22"/>
          <w:szCs w:val="22"/>
        </w:rPr>
      </w:pPr>
      <w:r>
        <w:rPr>
          <w:rFonts w:ascii="Times New Roman" w:hAnsi="Times New Roman"/>
        </w:rPr>
      </w:r>
    </w:p>
    <w:p>
      <w:pPr>
        <w:pStyle w:val="Normal"/>
        <w:spacing w:before="160" w:after="0"/>
        <w:jc w:val="end"/>
        <w:rPr>
          <w:sz w:val="22"/>
          <w:szCs w:val="22"/>
        </w:rPr>
      </w:pPr>
      <w:r>
        <w:rPr>
          <w:rFonts w:ascii="Times New Roman" w:hAnsi="Times New Roman"/>
        </w:rPr>
      </w:r>
    </w:p>
    <w:p>
      <w:pPr>
        <w:pStyle w:val="Normal"/>
        <w:spacing w:before="160" w:after="0"/>
        <w:jc w:val="end"/>
        <w:rPr>
          <w:rFonts w:ascii="Times New Roman" w:hAnsi="Times New Roman"/>
        </w:rPr>
      </w:pPr>
      <w:r>
        <w:rPr>
          <w:rFonts w:ascii="Times New Roman" w:hAnsi="Times New Roman"/>
          <w:sz w:val="22"/>
          <w:szCs w:val="22"/>
        </w:rPr>
        <w:t xml:space="preserve">Таблиця </w:t>
      </w:r>
      <w:r>
        <w:rPr>
          <w:rFonts w:ascii="Times New Roman" w:hAnsi="Times New Roman"/>
          <w:sz w:val="22"/>
          <w:szCs w:val="22"/>
        </w:rPr>
        <w:t>4</w:t>
      </w:r>
    </w:p>
    <w:p>
      <w:pPr>
        <w:pStyle w:val="Normal"/>
        <w:jc w:val="center"/>
        <w:rPr>
          <w:rFonts w:ascii="Times New Roman" w:hAnsi="Times New Roman"/>
        </w:rPr>
      </w:pPr>
      <w:r>
        <w:rPr>
          <w:rFonts w:ascii="Times New Roman" w:hAnsi="Times New Roman"/>
        </w:rPr>
      </w:r>
    </w:p>
    <w:p>
      <w:pPr>
        <w:pStyle w:val="Default"/>
        <w:jc w:val="center"/>
        <w:rPr/>
      </w:pPr>
      <w:r>
        <w:rPr>
          <w:rStyle w:val="Style13"/>
          <w:rFonts w:cs="Century Gothic"/>
          <w:color w:val="auto"/>
        </w:rPr>
        <w:t>Р</w:t>
      </w:r>
      <w:r>
        <w:rPr>
          <w:rStyle w:val="Style13"/>
          <w:rFonts w:cs="Century Gothic"/>
          <w:color w:val="auto"/>
          <w:sz w:val="22"/>
          <w:szCs w:val="22"/>
        </w:rPr>
        <w:t>ічне споживання палива транспортними засобами 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475"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0,1</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0,1</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0,1</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0,8</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0,9</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bl>
    <w:p>
      <w:pPr>
        <w:pStyle w:val="Normal"/>
        <w:spacing w:lineRule="auto" w:line="254"/>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ascii="Times New Roman" w:hAnsi="Times New Roman"/>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headerReference w:type="default" r:id="rId54"/>
          <w:headerReference w:type="first" r:id="rId55"/>
          <w:type w:val="nextPage"/>
          <w:pgSz w:w="11906" w:h="16838"/>
          <w:pgMar w:left="1701" w:right="850" w:gutter="0" w:header="0" w:top="1134" w:footer="0" w:bottom="1701"/>
          <w:pgNumType w:fmt="decimal"/>
          <w:formProt w:val="false"/>
          <w:textDirection w:val="lrTb"/>
          <w:docGrid w:type="default" w:linePitch="312" w:charSpace="4294961151"/>
        </w:sectPr>
      </w:pPr>
      <w:r>
        <w:rPr/>
      </w:r>
      <w:r>
        <w:br w:type="page"/>
      </w:r>
    </w:p>
    <w:p>
      <w:pPr>
        <w:pStyle w:val="Normal"/>
        <w:spacing w:lineRule="auto" w:line="252"/>
        <w:jc w:val="end"/>
        <w:rPr/>
      </w:pPr>
      <w:r>
        <w:rPr>
          <w:rStyle w:val="Style13"/>
          <w:rFonts w:eastAsia="Century Gothic" w:cs="Century Gothic" w:ascii="Times New Roman" w:hAnsi="Times New Roman"/>
          <w:kern w:val="0"/>
          <w:sz w:val="22"/>
          <w:szCs w:val="22"/>
          <w:lang w:eastAsia="uk-UA"/>
        </w:rPr>
        <w:t xml:space="preserve">Таблиця </w:t>
      </w:r>
      <w:r>
        <w:rPr>
          <w:rStyle w:val="Style13"/>
          <w:rFonts w:eastAsia="Century Gothic" w:cs="Century Gothic" w:ascii="Times New Roman" w:hAnsi="Times New Roman"/>
          <w:kern w:val="0"/>
          <w:sz w:val="22"/>
          <w:szCs w:val="22"/>
          <w:lang w:eastAsia="uk-UA"/>
        </w:rPr>
        <w:t>5</w:t>
      </w:r>
    </w:p>
    <w:p>
      <w:pPr>
        <w:pStyle w:val="Normal"/>
        <w:jc w:val="center"/>
        <w:rPr>
          <w:rFonts w:ascii="Times New Roman" w:hAnsi="Times New Roman"/>
          <w:color w:val="000000"/>
          <w:sz w:val="22"/>
          <w:szCs w:val="22"/>
        </w:rPr>
      </w:pPr>
      <w:r>
        <w:rPr>
          <w:rFonts w:ascii="Times New Roman" w:hAnsi="Times New Roman"/>
          <w:color w:val="000000"/>
          <w:sz w:val="22"/>
          <w:szCs w:val="22"/>
        </w:rPr>
      </w:r>
    </w:p>
    <w:p>
      <w:pPr>
        <w:pStyle w:val="Normal"/>
        <w:jc w:val="center"/>
        <w:rPr/>
      </w:pPr>
      <w:r>
        <w:rPr>
          <w:rStyle w:val="Style13"/>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40" w:type="dxa"/>
        <w:tblLayout w:type="fixed"/>
        <w:tblCellMar>
          <w:top w:w="55" w:type="dxa"/>
          <w:start w:w="55" w:type="dxa"/>
          <w:bottom w:w="55" w:type="dxa"/>
          <w:end w:w="55" w:type="dxa"/>
        </w:tblCellMar>
      </w:tblPr>
      <w:tblGrid>
        <w:gridCol w:w="1071"/>
        <w:gridCol w:w="964"/>
        <w:gridCol w:w="1074"/>
        <w:gridCol w:w="902"/>
        <w:gridCol w:w="602"/>
        <w:gridCol w:w="1008"/>
        <w:gridCol w:w="953"/>
        <w:gridCol w:w="1334"/>
        <w:gridCol w:w="1249"/>
        <w:gridCol w:w="1179"/>
        <w:gridCol w:w="1235"/>
        <w:gridCol w:w="974"/>
        <w:gridCol w:w="984"/>
        <w:gridCol w:w="1041"/>
      </w:tblGrid>
      <w:tr>
        <w:trPr/>
        <w:tc>
          <w:tcPr>
            <w:tcW w:w="107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9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Балансоутримувач (назва)</w:t>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ТЦСО НСП ПМР ДО</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 , вул.,Героїв України,13</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Нежитлове вбудоване</w:t>
            </w:r>
          </w:p>
        </w:tc>
        <w:tc>
          <w:tcPr>
            <w:tcW w:w="9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1974</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516,1</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366,5</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«Атлас Актив»</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МКП «Покроводоканал»</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0,38  клас напруги 2</w:t>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ТЦСО НСП ПМР ДО</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 , вул.,Центральна,62</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Нежитлове вбудоване</w:t>
            </w:r>
          </w:p>
        </w:tc>
        <w:tc>
          <w:tcPr>
            <w:tcW w:w="9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2002</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62,4</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62,4</w:t>
            </w:r>
          </w:p>
        </w:tc>
        <w:tc>
          <w:tcPr>
            <w:tcW w:w="133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МКП «Покроводоканал»</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8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ТОВ «Дніпровські енергетичні послуг»</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0,38  клас напруги 2</w:t>
            </w:r>
          </w:p>
        </w:tc>
      </w:tr>
    </w:tbl>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УЖКГ та будівництва, що використовувались для розроблення муніципального енергетичного плану</w:t>
      </w:r>
    </w:p>
    <w:p>
      <w:pPr>
        <w:pStyle w:val="BodyText"/>
        <w:widowControl/>
        <w:pBdr/>
        <w:spacing w:before="0" w:after="150"/>
        <w:ind w:firstLine="450" w:start="0" w:end="0"/>
        <w:jc w:val="end"/>
        <w:rPr>
          <w:rFonts w:ascii="Times New Roman" w:hAnsi="Times New Roman" w:eastAsia="Century Gothic" w:cs="Century Gothic"/>
          <w:b w:val="false"/>
          <w:bCs w:val="false"/>
          <w:i w:val="false"/>
          <w:caps w:val="false"/>
          <w:smallCaps w:val="false"/>
          <w:color w:val="000000"/>
          <w:spacing w:val="0"/>
          <w:kern w:val="0"/>
          <w:sz w:val="22"/>
          <w:szCs w:val="22"/>
          <w:shd w:fill="auto" w:val="clear"/>
          <w:lang w:eastAsia="uk-UA"/>
        </w:rPr>
      </w:pPr>
      <w:r>
        <w:rPr>
          <w:rFonts w:eastAsia="Century Gothic" w:cs="Century Gothic" w:ascii="Times New Roman" w:hAnsi="Times New Roman"/>
          <w:b w:val="false"/>
          <w:bCs w:val="false"/>
          <w:i w:val="false"/>
          <w:caps w:val="false"/>
          <w:smallCaps w:val="false"/>
          <w:color w:val="000000"/>
          <w:spacing w:val="0"/>
          <w:kern w:val="0"/>
          <w:sz w:val="22"/>
          <w:szCs w:val="22"/>
          <w:shd w:fill="auto" w:val="clear"/>
          <w:lang w:eastAsia="uk-UA"/>
        </w:rPr>
        <w:t>Таблиця 1</w:t>
      </w:r>
    </w:p>
    <w:p>
      <w:pPr>
        <w:pStyle w:val="Normal"/>
        <w:spacing w:lineRule="auto" w:line="240" w:before="0" w:after="0"/>
        <w:jc w:val="center"/>
        <w:rPr>
          <w:rFonts w:ascii="Times New Roman" w:hAnsi="Times New Roman"/>
          <w:b w:val="false"/>
          <w:bCs w:val="false"/>
          <w:sz w:val="22"/>
          <w:szCs w:val="22"/>
        </w:rPr>
      </w:pPr>
      <w:r>
        <w:rPr>
          <w:rFonts w:ascii="Times New Roman" w:hAnsi="Times New Roman"/>
          <w:b w:val="false"/>
          <w:bCs w:val="false"/>
          <w:sz w:val="22"/>
          <w:szCs w:val="22"/>
        </w:rPr>
        <w:t xml:space="preserve"> </w:t>
      </w:r>
      <w:r>
        <w:rPr>
          <w:rFonts w:ascii="Times New Roman" w:hAnsi="Times New Roman"/>
          <w:b w:val="false"/>
          <w:bCs w:val="false"/>
          <w:sz w:val="22"/>
          <w:szCs w:val="22"/>
        </w:rPr>
        <w:t>Кількість та площа будівель</w:t>
      </w:r>
    </w:p>
    <w:tbl>
      <w:tblPr>
        <w:tblW w:w="5000" w:type="pct"/>
        <w:jc w:val="start"/>
        <w:tblInd w:w="-5" w:type="dxa"/>
        <w:tblLayout w:type="fixed"/>
        <w:tblCellMar>
          <w:top w:w="55" w:type="dxa"/>
          <w:start w:w="55" w:type="dxa"/>
          <w:bottom w:w="55" w:type="dxa"/>
          <w:end w:w="55" w:type="dxa"/>
        </w:tblCellMar>
      </w:tblPr>
      <w:tblGrid>
        <w:gridCol w:w="1650"/>
        <w:gridCol w:w="994"/>
        <w:gridCol w:w="984"/>
        <w:gridCol w:w="1164"/>
        <w:gridCol w:w="1311"/>
        <w:gridCol w:w="994"/>
        <w:gridCol w:w="1262"/>
        <w:gridCol w:w="996"/>
      </w:tblGrid>
      <w:tr>
        <w:trPr/>
        <w:tc>
          <w:tcPr>
            <w:tcW w:w="16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1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1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99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м</w:t>
            </w:r>
            <w:r>
              <w:rPr>
                <w:rFonts w:eastAsia="Times New Roman" w:cs="Times New Roman" w:ascii="Times New Roman" w:hAnsi="Times New Roman"/>
                <w:b/>
                <w:bCs/>
                <w:sz w:val="20"/>
                <w:szCs w:val="20"/>
              </w:rPr>
              <w:t>²</w:t>
            </w:r>
          </w:p>
        </w:tc>
        <w:tc>
          <w:tcPr>
            <w:tcW w:w="126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 м</w:t>
            </w:r>
            <w:r>
              <w:rPr>
                <w:rFonts w:eastAsia="Times New Roman" w:cs="Times New Roman" w:ascii="Times New Roman" w:hAnsi="Times New Roman"/>
                <w:b/>
                <w:bCs/>
                <w:sz w:val="20"/>
                <w:szCs w:val="20"/>
              </w:rPr>
              <w:t>²</w:t>
            </w:r>
          </w:p>
        </w:tc>
        <w:tc>
          <w:tcPr>
            <w:tcW w:w="99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650"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99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b/>
                <w:bCs/>
                <w:sz w:val="20"/>
                <w:szCs w:val="20"/>
              </w:rPr>
              <w:t>1</w:t>
            </w:r>
            <w:r>
              <w:rPr>
                <w:rFonts w:ascii="Times New Roman" w:hAnsi="Times New Roman"/>
                <w:sz w:val="20"/>
                <w:szCs w:val="20"/>
              </w:rPr>
              <w:t xml:space="preserve"> </w:t>
            </w:r>
          </w:p>
          <w:p>
            <w:pPr>
              <w:pStyle w:val="Style20"/>
              <w:jc w:val="center"/>
              <w:rPr>
                <w:rFonts w:ascii="Times New Roman" w:hAnsi="Times New Roman"/>
                <w:b w:val="false"/>
                <w:bCs w:val="false"/>
                <w:sz w:val="16"/>
                <w:szCs w:val="16"/>
              </w:rPr>
            </w:pPr>
            <w:r>
              <w:rPr>
                <w:rFonts w:ascii="Times New Roman" w:hAnsi="Times New Roman"/>
                <w:b w:val="false"/>
                <w:bCs w:val="false"/>
                <w:sz w:val="16"/>
                <w:szCs w:val="16"/>
              </w:rPr>
              <w:t>УЖКГ та будівництва</w:t>
            </w:r>
          </w:p>
        </w:tc>
        <w:tc>
          <w:tcPr>
            <w:tcW w:w="984"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0</w:t>
            </w:r>
          </w:p>
          <w:p>
            <w:pPr>
              <w:pStyle w:val="Style20"/>
              <w:jc w:val="center"/>
              <w:rPr>
                <w:rFonts w:ascii="Times New Roman" w:hAnsi="Times New Roman"/>
                <w:sz w:val="16"/>
                <w:szCs w:val="16"/>
              </w:rPr>
            </w:pPr>
            <w:r>
              <w:rPr>
                <w:rFonts w:ascii="Times New Roman" w:hAnsi="Times New Roman"/>
                <w:b w:val="false"/>
                <w:bCs w:val="false"/>
                <w:sz w:val="16"/>
                <w:szCs w:val="16"/>
              </w:rPr>
              <w:t>оренда частини</w:t>
            </w:r>
            <w:r>
              <w:rPr>
                <w:rFonts w:ascii="Times New Roman" w:hAnsi="Times New Roman"/>
                <w:b w:val="false"/>
                <w:bCs w:val="false"/>
                <w:sz w:val="16"/>
                <w:szCs w:val="16"/>
              </w:rPr>
              <w:t xml:space="preserve"> </w:t>
            </w:r>
            <w:r>
              <w:rPr>
                <w:rFonts w:ascii="Times New Roman" w:hAnsi="Times New Roman"/>
                <w:b w:val="false"/>
                <w:bCs w:val="false"/>
                <w:sz w:val="16"/>
                <w:szCs w:val="16"/>
                <w:shd w:fill="FFFFFF" w:val="clear"/>
              </w:rPr>
              <w:t>адміністративної будівлі по вул. Центральна, 48</w:t>
            </w:r>
            <w:r>
              <w:rPr>
                <w:rFonts w:ascii="Times New Roman" w:hAnsi="Times New Roman"/>
                <w:b w:val="false"/>
                <w:bCs w:val="false"/>
                <w:sz w:val="16"/>
                <w:szCs w:val="16"/>
                <w:shd w:fill="FFFFFF" w:val="clear"/>
              </w:rPr>
              <w:t>)</w:t>
            </w:r>
            <w:r>
              <w:rPr>
                <w:rFonts w:ascii="Times New Roman" w:hAnsi="Times New Roman"/>
                <w:sz w:val="16"/>
                <w:szCs w:val="16"/>
                <w:shd w:fill="FFFFFF" w:val="clear"/>
              </w:rPr>
              <w:t xml:space="preserve"> (орендована площа 80,7 кв.м)</w:t>
            </w:r>
          </w:p>
        </w:tc>
        <w:tc>
          <w:tcPr>
            <w:tcW w:w="1164"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1</w:t>
            </w:r>
          </w:p>
          <w:p>
            <w:pPr>
              <w:pStyle w:val="Style20"/>
              <w:jc w:val="center"/>
              <w:rPr>
                <w:rFonts w:ascii="Times New Roman" w:hAnsi="Times New Roman"/>
                <w:sz w:val="16"/>
                <w:szCs w:val="16"/>
              </w:rPr>
            </w:pPr>
            <w:r>
              <w:rPr>
                <w:rFonts w:ascii="Times New Roman" w:hAnsi="Times New Roman"/>
                <w:b w:val="false"/>
                <w:bCs w:val="false"/>
                <w:sz w:val="16"/>
                <w:szCs w:val="16"/>
              </w:rPr>
              <w:t>частина</w:t>
            </w:r>
            <w:r>
              <w:rPr>
                <w:rFonts w:ascii="Times New Roman" w:hAnsi="Times New Roman"/>
                <w:b w:val="false"/>
                <w:bCs w:val="false"/>
                <w:sz w:val="16"/>
                <w:szCs w:val="16"/>
              </w:rPr>
              <w:t xml:space="preserve"> </w:t>
            </w:r>
            <w:r>
              <w:rPr>
                <w:rFonts w:ascii="Times New Roman" w:hAnsi="Times New Roman"/>
                <w:b w:val="false"/>
                <w:bCs w:val="false"/>
                <w:sz w:val="16"/>
                <w:szCs w:val="16"/>
                <w:shd w:fill="FFFFFF" w:val="clear"/>
              </w:rPr>
              <w:t>адміністративної будівлі по вул. Центральна, 48</w:t>
            </w:r>
            <w:r>
              <w:rPr>
                <w:rFonts w:ascii="Times New Roman" w:hAnsi="Times New Roman"/>
                <w:b w:val="false"/>
                <w:bCs w:val="false"/>
                <w:sz w:val="16"/>
                <w:szCs w:val="16"/>
                <w:shd w:fill="FFFFFF" w:val="clear"/>
              </w:rPr>
              <w:t>)</w:t>
            </w:r>
          </w:p>
        </w:tc>
        <w:tc>
          <w:tcPr>
            <w:tcW w:w="1311"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1</w:t>
            </w:r>
          </w:p>
        </w:tc>
        <w:tc>
          <w:tcPr>
            <w:tcW w:w="994" w:type="dxa"/>
            <w:tcBorders>
              <w:start w:val="single" w:sz="4" w:space="0" w:color="000000"/>
              <w:bottom w:val="single" w:sz="4" w:space="0" w:color="000000"/>
            </w:tcBorders>
          </w:tcPr>
          <w:p>
            <w:pPr>
              <w:pStyle w:val="Style20"/>
              <w:jc w:val="center"/>
              <w:rPr>
                <w:rFonts w:ascii="Times New Roman" w:hAnsi="Times New Roman"/>
                <w:b/>
                <w:bCs/>
                <w:sz w:val="20"/>
                <w:szCs w:val="20"/>
                <w:shd w:fill="FFFFFF" w:val="clear"/>
              </w:rPr>
            </w:pPr>
            <w:r>
              <w:rPr>
                <w:rFonts w:ascii="Times New Roman" w:hAnsi="Times New Roman"/>
                <w:b/>
                <w:bCs/>
                <w:sz w:val="20"/>
                <w:szCs w:val="20"/>
                <w:shd w:fill="FFFFFF" w:val="clear"/>
              </w:rPr>
              <w:t>80,7</w:t>
            </w:r>
          </w:p>
        </w:tc>
        <w:tc>
          <w:tcPr>
            <w:tcW w:w="1262" w:type="dxa"/>
            <w:tcBorders>
              <w:start w:val="single" w:sz="4" w:space="0" w:color="000000"/>
              <w:bottom w:val="single" w:sz="4" w:space="0" w:color="000000"/>
            </w:tcBorders>
          </w:tcPr>
          <w:p>
            <w:pPr>
              <w:pStyle w:val="Style20"/>
              <w:jc w:val="center"/>
              <w:rPr>
                <w:rFonts w:ascii="Times New Roman" w:hAnsi="Times New Roman"/>
                <w:b/>
                <w:bCs/>
                <w:sz w:val="20"/>
                <w:szCs w:val="20"/>
                <w:shd w:fill="FFFFFF" w:val="clear"/>
              </w:rPr>
            </w:pPr>
            <w:r>
              <w:rPr>
                <w:rFonts w:ascii="Times New Roman" w:hAnsi="Times New Roman"/>
                <w:b/>
                <w:bCs/>
                <w:sz w:val="20"/>
                <w:szCs w:val="20"/>
                <w:shd w:fill="FFFFFF" w:val="clear"/>
              </w:rPr>
              <w:t>80,7</w:t>
            </w:r>
          </w:p>
        </w:tc>
        <w:tc>
          <w:tcPr>
            <w:tcW w:w="996"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100</w:t>
            </w:r>
          </w:p>
        </w:tc>
      </w:tr>
    </w:tbl>
    <w:p>
      <w:pPr>
        <w:pStyle w:val="Normal"/>
        <w:spacing w:lineRule="auto" w:line="259" w:before="0" w:after="0"/>
        <w:jc w:val="end"/>
        <w:rPr>
          <w:rFonts w:ascii="Times New Roman" w:hAnsi="Times New Roman" w:eastAsia="Century Gothic" w:cs="Century Gothic"/>
          <w:kern w:val="0"/>
          <w:sz w:val="24"/>
          <w:szCs w:val="24"/>
          <w:lang w:eastAsia="uk-UA"/>
        </w:rPr>
      </w:pPr>
      <w:r>
        <w:rPr/>
      </w:r>
    </w:p>
    <w:p>
      <w:pPr>
        <w:pStyle w:val="Normal"/>
        <w:spacing w:lineRule="auto" w:line="259" w:before="0" w:after="0"/>
        <w:jc w:val="end"/>
        <w:rPr/>
      </w:pPr>
      <w:r>
        <w:rPr>
          <w:rFonts w:eastAsia="Century Gothic" w:cs="Century Gothic" w:ascii="Times New Roman" w:hAnsi="Times New Roman"/>
          <w:kern w:val="0"/>
          <w:sz w:val="24"/>
          <w:szCs w:val="24"/>
          <w:lang w:eastAsia="uk-UA"/>
        </w:rPr>
        <w:t>Т</w:t>
      </w:r>
      <w:r>
        <w:rPr>
          <w:rFonts w:eastAsia="Century Gothic" w:cs="Century Gothic" w:ascii="Times New Roman" w:hAnsi="Times New Roman"/>
          <w:kern w:val="0"/>
          <w:sz w:val="24"/>
          <w:szCs w:val="24"/>
          <w:lang w:eastAsia="uk-UA"/>
        </w:rPr>
        <w:t xml:space="preserve">аблиця </w:t>
      </w:r>
      <w:r>
        <w:rPr>
          <w:rFonts w:eastAsia="Century Gothic" w:cs="Century Gothic" w:ascii="Times New Roman" w:hAnsi="Times New Roman"/>
          <w:kern w:val="0"/>
          <w:sz w:val="24"/>
          <w:szCs w:val="24"/>
          <w:lang w:eastAsia="uk-UA"/>
        </w:rPr>
        <w:t>2</w:t>
      </w:r>
      <w:r>
        <w:rPr>
          <w:rFonts w:eastAsia="Century Gothic" w:cs="Century Gothic" w:ascii="Times New Roman" w:hAnsi="Times New Roman"/>
          <w:kern w:val="0"/>
          <w:sz w:val="24"/>
          <w:szCs w:val="24"/>
          <w:lang w:eastAsia="uk-UA"/>
        </w:rPr>
        <w:t xml:space="preserve">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797"/>
        <w:gridCol w:w="778"/>
        <w:gridCol w:w="1025"/>
        <w:gridCol w:w="1025"/>
        <w:gridCol w:w="1013"/>
        <w:gridCol w:w="962"/>
        <w:gridCol w:w="975"/>
        <w:gridCol w:w="1013"/>
        <w:gridCol w:w="1075"/>
        <w:gridCol w:w="999"/>
      </w:tblGrid>
      <w:tr>
        <w:trPr>
          <w:trHeight w:val="26" w:hRule="atLeast"/>
        </w:trPr>
        <w:tc>
          <w:tcPr>
            <w:tcW w:w="797"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Найменування</w:t>
            </w:r>
          </w:p>
        </w:tc>
        <w:tc>
          <w:tcPr>
            <w:tcW w:w="77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Од. вим.</w:t>
            </w:r>
          </w:p>
        </w:tc>
        <w:tc>
          <w:tcPr>
            <w:tcW w:w="8087" w:type="dxa"/>
            <w:gridSpan w:val="8"/>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Роки</w:t>
            </w:r>
          </w:p>
        </w:tc>
      </w:tr>
      <w:tr>
        <w:trPr>
          <w:trHeight w:val="26" w:hRule="atLeast"/>
        </w:trPr>
        <w:tc>
          <w:tcPr>
            <w:tcW w:w="797" w:type="dxa"/>
            <w:vMerge w:val="continue"/>
            <w:tcBorders>
              <w:top w:val="single" w:sz="4" w:space="0" w:color="000000"/>
              <w:start w:val="single" w:sz="4" w:space="0" w:color="000000"/>
              <w:bottom w:val="single" w:sz="4" w:space="0" w:color="000000"/>
            </w:tcBorders>
          </w:tcPr>
          <w:p>
            <w:pPr>
              <w:pStyle w:val="Normal"/>
              <w:rPr/>
            </w:pPr>
            <w:r>
              <w:rPr/>
            </w:r>
          </w:p>
        </w:tc>
        <w:tc>
          <w:tcPr>
            <w:tcW w:w="77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w:t>
            </w:r>
            <w:r>
              <w:rPr>
                <w:rFonts w:ascii="Times New Roman" w:hAnsi="Times New Roman"/>
                <w:b/>
                <w:bCs/>
                <w:sz w:val="16"/>
                <w:szCs w:val="16"/>
                <w:shd w:fill="auto" w:val="clear"/>
              </w:rPr>
              <w:t>17</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2018</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2019</w:t>
            </w:r>
          </w:p>
        </w:tc>
        <w:tc>
          <w:tcPr>
            <w:tcW w:w="962"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2020</w:t>
            </w:r>
          </w:p>
        </w:tc>
        <w:tc>
          <w:tcPr>
            <w:tcW w:w="97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2021</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2022</w:t>
            </w:r>
          </w:p>
        </w:tc>
        <w:tc>
          <w:tcPr>
            <w:tcW w:w="107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2023</w:t>
            </w:r>
          </w:p>
        </w:tc>
        <w:tc>
          <w:tcPr>
            <w:tcW w:w="999"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2024</w:t>
            </w:r>
          </w:p>
        </w:tc>
      </w:tr>
      <w:tr>
        <w:trPr>
          <w:trHeight w:val="26" w:hRule="atLeast"/>
        </w:trPr>
        <w:tc>
          <w:tcPr>
            <w:tcW w:w="797"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Теплова енергія на опалення</w:t>
            </w:r>
          </w:p>
        </w:tc>
        <w:tc>
          <w:tcPr>
            <w:tcW w:w="778"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Гкал</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shd w:fill="auto" w:val="clear"/>
              </w:rPr>
            </w:pPr>
            <w:r>
              <w:rPr>
                <w:rFonts w:ascii="Times New Roman" w:hAnsi="Times New Roman"/>
                <w:b/>
                <w:bCs/>
                <w:sz w:val="16"/>
                <w:szCs w:val="16"/>
                <w:shd w:fill="auto" w:val="clear"/>
              </w:rPr>
              <w:t>112,41</w:t>
            </w:r>
            <w:r>
              <w:rPr>
                <w:rFonts w:ascii="Times New Roman" w:hAnsi="Times New Roman"/>
                <w:sz w:val="16"/>
                <w:szCs w:val="16"/>
                <w:shd w:fill="auto" w:val="clear"/>
              </w:rPr>
              <w:t xml:space="preserve">, </w:t>
            </w:r>
            <w:r>
              <w:rPr>
                <w:rFonts w:ascii="Times New Roman" w:hAnsi="Times New Roman"/>
                <w:sz w:val="16"/>
                <w:szCs w:val="16"/>
                <w:shd w:fill="auto" w:val="clear"/>
              </w:rPr>
              <w:t xml:space="preserve">а саме: опалення </w:t>
            </w:r>
            <w:r>
              <w:rPr>
                <w:rFonts w:ascii="Times New Roman" w:hAnsi="Times New Roman"/>
                <w:sz w:val="16"/>
                <w:szCs w:val="16"/>
                <w:shd w:fill="FFFFFF" w:val="clear"/>
              </w:rPr>
              <w:t xml:space="preserve">адміністративної будівлі: по вул. Центральна, 48 (орендована площа 80,7 кв.м) - </w:t>
            </w:r>
            <w:r>
              <w:rPr>
                <w:rFonts w:ascii="Times New Roman" w:hAnsi="Times New Roman"/>
                <w:b/>
                <w:bCs/>
                <w:sz w:val="16"/>
                <w:szCs w:val="16"/>
                <w:shd w:fill="FFFFFF" w:val="clear"/>
              </w:rPr>
              <w:t>9 Гкал</w:t>
            </w:r>
            <w:r>
              <w:rPr>
                <w:rFonts w:ascii="Times New Roman" w:hAnsi="Times New Roman"/>
                <w:b w:val="false"/>
                <w:bCs w:val="false"/>
                <w:sz w:val="16"/>
                <w:szCs w:val="16"/>
                <w:shd w:fill="FFFFFF" w:val="clear"/>
              </w:rPr>
              <w:t xml:space="preserve">;  </w:t>
            </w:r>
            <w:r>
              <w:rPr>
                <w:rFonts w:ascii="Times New Roman" w:hAnsi="Times New Roman"/>
                <w:b w:val="false"/>
                <w:bCs w:val="false"/>
                <w:sz w:val="16"/>
                <w:szCs w:val="16"/>
                <w:shd w:fill="auto" w:val="clear"/>
              </w:rPr>
              <w:t xml:space="preserve">опалення </w:t>
            </w:r>
            <w:r>
              <w:rPr>
                <w:rFonts w:ascii="Times New Roman" w:hAnsi="Times New Roman"/>
                <w:b w:val="false"/>
                <w:bCs w:val="false"/>
                <w:sz w:val="16"/>
                <w:szCs w:val="16"/>
                <w:shd w:fill="FFFFFF" w:val="clear"/>
              </w:rPr>
              <w:t xml:space="preserve">адміністративної будівлі:по вул. </w:t>
            </w:r>
            <w:r>
              <w:rPr>
                <w:rFonts w:ascii="Times New Roman" w:hAnsi="Times New Roman"/>
                <w:b w:val="false"/>
                <w:bCs w:val="false"/>
                <w:sz w:val="16"/>
                <w:szCs w:val="16"/>
                <w:shd w:fill="FFFFFF" w:val="clear"/>
              </w:rPr>
              <w:t>Тикви</w:t>
            </w:r>
            <w:r>
              <w:rPr>
                <w:rFonts w:ascii="Times New Roman" w:hAnsi="Times New Roman"/>
                <w:b w:val="false"/>
                <w:bCs w:val="false"/>
                <w:sz w:val="16"/>
                <w:szCs w:val="16"/>
                <w:shd w:fill="FFFFFF" w:val="clear"/>
              </w:rPr>
              <w:t xml:space="preserve">, </w:t>
            </w:r>
            <w:r>
              <w:rPr>
                <w:rFonts w:ascii="Times New Roman" w:hAnsi="Times New Roman"/>
                <w:b w:val="false"/>
                <w:bCs w:val="false"/>
                <w:sz w:val="16"/>
                <w:szCs w:val="16"/>
                <w:shd w:fill="FFFFFF" w:val="clear"/>
              </w:rPr>
              <w:t xml:space="preserve">2 </w:t>
            </w:r>
            <w:r>
              <w:rPr>
                <w:rFonts w:ascii="Times New Roman" w:hAnsi="Times New Roman"/>
                <w:b w:val="false"/>
                <w:bCs w:val="false"/>
                <w:sz w:val="16"/>
                <w:szCs w:val="16"/>
                <w:shd w:fill="FFFFFF" w:val="clear"/>
              </w:rPr>
              <w:t xml:space="preserve"> </w:t>
            </w:r>
            <w:r>
              <w:rPr>
                <w:rFonts w:ascii="Times New Roman" w:hAnsi="Times New Roman"/>
                <w:b w:val="false"/>
                <w:bCs w:val="false"/>
                <w:sz w:val="16"/>
                <w:szCs w:val="16"/>
                <w:shd w:fill="FFFFFF" w:val="clear"/>
              </w:rPr>
              <w:t>(</w:t>
            </w:r>
            <w:r>
              <w:rPr>
                <w:rFonts w:ascii="Times New Roman" w:hAnsi="Times New Roman"/>
                <w:b w:val="false"/>
                <w:bCs w:val="false"/>
                <w:sz w:val="16"/>
                <w:szCs w:val="16"/>
                <w:shd w:fill="FFFFFF" w:val="clear"/>
              </w:rPr>
              <w:t xml:space="preserve">площа </w:t>
            </w:r>
            <w:r>
              <w:rPr>
                <w:rFonts w:ascii="Times New Roman" w:hAnsi="Times New Roman"/>
                <w:b w:val="false"/>
                <w:bCs w:val="false"/>
                <w:sz w:val="16"/>
                <w:szCs w:val="16"/>
                <w:shd w:fill="FFFFFF" w:val="clear"/>
              </w:rPr>
              <w:t>2499,88</w:t>
            </w:r>
            <w:r>
              <w:rPr>
                <w:rFonts w:ascii="Times New Roman" w:hAnsi="Times New Roman"/>
                <w:b w:val="false"/>
                <w:bCs w:val="false"/>
                <w:sz w:val="16"/>
                <w:szCs w:val="16"/>
                <w:shd w:fill="FFFFFF" w:val="clear"/>
              </w:rPr>
              <w:t xml:space="preserve"> кв.м) - </w:t>
            </w:r>
            <w:r>
              <w:rPr>
                <w:rFonts w:ascii="Times New Roman" w:hAnsi="Times New Roman"/>
                <w:b/>
                <w:bCs/>
                <w:sz w:val="16"/>
                <w:szCs w:val="16"/>
                <w:shd w:fill="FFFFFF" w:val="clear"/>
              </w:rPr>
              <w:t>103,41 Гкал</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9,41</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9,036</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962"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8,895</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975"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9,203</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101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9,022</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1075"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9,022</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c>
          <w:tcPr>
            <w:tcW w:w="999"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9,183</w:t>
            </w:r>
          </w:p>
          <w:p>
            <w:pPr>
              <w:pStyle w:val="Style20"/>
              <w:jc w:val="center"/>
              <w:rPr>
                <w:rFonts w:ascii="Times New Roman" w:hAnsi="Times New Roman"/>
                <w:sz w:val="16"/>
                <w:szCs w:val="16"/>
                <w:shd w:fill="auto" w:val="clear"/>
              </w:rPr>
            </w:pPr>
            <w:r>
              <w:rPr>
                <w:rFonts w:ascii="Times New Roman" w:hAnsi="Times New Roman"/>
                <w:sz w:val="16"/>
                <w:szCs w:val="16"/>
                <w:shd w:fill="auto" w:val="clear"/>
              </w:rPr>
              <w:t xml:space="preserve">опалення </w:t>
            </w:r>
            <w:r>
              <w:rPr>
                <w:rFonts w:ascii="Times New Roman" w:hAnsi="Times New Roman"/>
                <w:sz w:val="16"/>
                <w:szCs w:val="16"/>
                <w:shd w:fill="FFFFFF" w:val="clear"/>
              </w:rPr>
              <w:t>адміністративної будівлі по вул. Центральна, 48 (орендована площа 80,7 кв.м)</w:t>
            </w:r>
          </w:p>
        </w:tc>
      </w:tr>
    </w:tbl>
    <w:p>
      <w:pPr>
        <w:pStyle w:val="Normal"/>
        <w:spacing w:before="0" w:after="0"/>
        <w:jc w:val="end"/>
        <w:rPr>
          <w:rFonts w:eastAsia="Century Gothic" w:cs="Century Gothic"/>
          <w:kern w:val="0"/>
          <w:lang w:eastAsia="uk-UA"/>
        </w:rPr>
      </w:pPr>
      <w:r>
        <w:rPr>
          <w:rFonts w:ascii="Times New Roman" w:hAnsi="Times New Roman"/>
          <w:sz w:val="24"/>
          <w:szCs w:val="24"/>
        </w:rPr>
      </w:r>
    </w:p>
    <w:p>
      <w:pPr>
        <w:pStyle w:val="Normal"/>
        <w:spacing w:lineRule="auto" w:line="259" w:before="0" w:after="0"/>
        <w:jc w:val="end"/>
        <w:rPr>
          <w:rFonts w:ascii="Times New Roman" w:hAnsi="Times New Roman"/>
          <w:sz w:val="24"/>
          <w:szCs w:val="24"/>
        </w:rPr>
      </w:pPr>
      <w:r>
        <w:rPr>
          <w:rFonts w:eastAsia="Century Gothic" w:cs="Century Gothic" w:ascii="Times New Roman" w:hAnsi="Times New Roman"/>
          <w:kern w:val="0"/>
          <w:sz w:val="24"/>
          <w:szCs w:val="24"/>
          <w:lang w:eastAsia="uk-UA"/>
        </w:rPr>
        <w:t xml:space="preserve">Таблиця </w:t>
      </w:r>
      <w:r>
        <w:rPr>
          <w:rFonts w:eastAsia="Century Gothic" w:cs="Century Gothic" w:ascii="Times New Roman" w:hAnsi="Times New Roman"/>
          <w:kern w:val="0"/>
          <w:sz w:val="24"/>
          <w:szCs w:val="24"/>
          <w:lang w:eastAsia="uk-UA"/>
        </w:rPr>
        <w:t>3</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1083"/>
        <w:gridCol w:w="590"/>
        <w:gridCol w:w="990"/>
        <w:gridCol w:w="1075"/>
        <w:gridCol w:w="962"/>
        <w:gridCol w:w="1025"/>
        <w:gridCol w:w="963"/>
        <w:gridCol w:w="1012"/>
        <w:gridCol w:w="1025"/>
        <w:gridCol w:w="937"/>
      </w:tblGrid>
      <w:tr>
        <w:trPr>
          <w:trHeight w:val="26" w:hRule="atLeast"/>
        </w:trPr>
        <w:tc>
          <w:tcPr>
            <w:tcW w:w="1083"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Найменування</w:t>
            </w:r>
          </w:p>
        </w:tc>
        <w:tc>
          <w:tcPr>
            <w:tcW w:w="590"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Од. вим.</w:t>
            </w:r>
          </w:p>
        </w:tc>
        <w:tc>
          <w:tcPr>
            <w:tcW w:w="7989" w:type="dxa"/>
            <w:gridSpan w:val="8"/>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Роки</w:t>
            </w:r>
          </w:p>
        </w:tc>
      </w:tr>
      <w:tr>
        <w:trPr>
          <w:trHeight w:val="26" w:hRule="atLeast"/>
        </w:trPr>
        <w:tc>
          <w:tcPr>
            <w:tcW w:w="1083" w:type="dxa"/>
            <w:vMerge w:val="continue"/>
            <w:tcBorders>
              <w:top w:val="single" w:sz="4" w:space="0" w:color="000000"/>
              <w:start w:val="single" w:sz="4" w:space="0" w:color="000000"/>
              <w:bottom w:val="single" w:sz="4" w:space="0" w:color="000000"/>
            </w:tcBorders>
          </w:tcPr>
          <w:p>
            <w:pPr>
              <w:pStyle w:val="Normal"/>
              <w:rPr/>
            </w:pPr>
            <w:r>
              <w:rPr/>
            </w:r>
          </w:p>
        </w:tc>
        <w:tc>
          <w:tcPr>
            <w:tcW w:w="590"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990"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w:t>
            </w:r>
            <w:r>
              <w:rPr>
                <w:rFonts w:ascii="Times New Roman" w:hAnsi="Times New Roman"/>
                <w:b/>
                <w:bCs/>
                <w:sz w:val="16"/>
                <w:szCs w:val="16"/>
                <w:shd w:fill="auto" w:val="clear"/>
              </w:rPr>
              <w:t>17</w:t>
            </w:r>
          </w:p>
        </w:tc>
        <w:tc>
          <w:tcPr>
            <w:tcW w:w="107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2018</w:t>
            </w:r>
          </w:p>
        </w:tc>
        <w:tc>
          <w:tcPr>
            <w:tcW w:w="962"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2019</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2020</w:t>
            </w:r>
          </w:p>
        </w:tc>
        <w:tc>
          <w:tcPr>
            <w:tcW w:w="963"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2021</w:t>
            </w:r>
          </w:p>
        </w:tc>
        <w:tc>
          <w:tcPr>
            <w:tcW w:w="1012"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2022</w:t>
            </w:r>
          </w:p>
        </w:tc>
        <w:tc>
          <w:tcPr>
            <w:tcW w:w="1025" w:type="dxa"/>
            <w:tcBorders>
              <w:start w:val="single" w:sz="4" w:space="0" w:color="000000"/>
              <w:bottom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2023</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shd w:fill="auto" w:val="clear"/>
              </w:rPr>
            </w:pPr>
            <w:r>
              <w:rPr>
                <w:rFonts w:ascii="Times New Roman" w:hAnsi="Times New Roman"/>
                <w:b/>
                <w:bCs/>
                <w:sz w:val="16"/>
                <w:szCs w:val="16"/>
                <w:shd w:fill="auto" w:val="clear"/>
              </w:rPr>
              <w:t>2024</w:t>
            </w:r>
          </w:p>
        </w:tc>
      </w:tr>
      <w:tr>
        <w:trPr>
          <w:trHeight w:val="26" w:hRule="atLeast"/>
        </w:trPr>
        <w:tc>
          <w:tcPr>
            <w:tcW w:w="108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Теплова енергія на опалення</w:t>
            </w:r>
          </w:p>
        </w:tc>
        <w:tc>
          <w:tcPr>
            <w:tcW w:w="590"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Гкал</w:t>
            </w:r>
          </w:p>
        </w:tc>
        <w:tc>
          <w:tcPr>
            <w:tcW w:w="990"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1555,58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7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2370,90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96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2698,45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2685,97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963"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3098,36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1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3523,23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4642,17 </w:t>
            </w:r>
            <w:r>
              <w:rPr>
                <w:rFonts w:ascii="Times New Roman" w:hAnsi="Times New Roman"/>
                <w:bCs/>
                <w:iCs/>
                <w:sz w:val="16"/>
                <w:szCs w:val="16"/>
                <w:lang w:val="uk-UA"/>
              </w:rPr>
              <w:t>за 1Г</w:t>
            </w:r>
            <w:r>
              <w:rPr>
                <w:rFonts w:ascii="Times New Roman" w:hAnsi="Times New Roman"/>
                <w:sz w:val="16"/>
                <w:szCs w:val="16"/>
                <w:lang w:val="uk-UA"/>
              </w:rPr>
              <w:t>кал без ПДВ</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 xml:space="preserve">5781,88 </w:t>
            </w:r>
            <w:r>
              <w:rPr>
                <w:rFonts w:ascii="Times New Roman" w:hAnsi="Times New Roman"/>
                <w:bCs/>
                <w:iCs/>
                <w:sz w:val="16"/>
                <w:szCs w:val="16"/>
                <w:lang w:val="uk-UA"/>
              </w:rPr>
              <w:t>за 1Г</w:t>
            </w:r>
            <w:r>
              <w:rPr>
                <w:rFonts w:ascii="Times New Roman" w:hAnsi="Times New Roman"/>
                <w:sz w:val="16"/>
                <w:szCs w:val="16"/>
                <w:lang w:val="uk-UA"/>
              </w:rPr>
              <w:t>кал без ПДВ</w:t>
            </w:r>
          </w:p>
        </w:tc>
      </w:tr>
      <w:tr>
        <w:trPr>
          <w:trHeight w:val="26" w:hRule="atLeast"/>
        </w:trPr>
        <w:tc>
          <w:tcPr>
            <w:tcW w:w="108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Водопостачання</w:t>
            </w:r>
          </w:p>
        </w:tc>
        <w:tc>
          <w:tcPr>
            <w:tcW w:w="590"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м3</w:t>
            </w:r>
          </w:p>
        </w:tc>
        <w:tc>
          <w:tcPr>
            <w:tcW w:w="990"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7,944</w:t>
            </w:r>
          </w:p>
        </w:tc>
        <w:tc>
          <w:tcPr>
            <w:tcW w:w="107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14,88</w:t>
            </w:r>
          </w:p>
        </w:tc>
        <w:tc>
          <w:tcPr>
            <w:tcW w:w="96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16,33</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16,21</w:t>
            </w:r>
          </w:p>
        </w:tc>
        <w:tc>
          <w:tcPr>
            <w:tcW w:w="963"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16,21</w:t>
            </w:r>
          </w:p>
        </w:tc>
        <w:tc>
          <w:tcPr>
            <w:tcW w:w="101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21,4</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21,4</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21,4</w:t>
            </w:r>
          </w:p>
        </w:tc>
      </w:tr>
      <w:tr>
        <w:trPr>
          <w:trHeight w:val="26" w:hRule="atLeast"/>
        </w:trPr>
        <w:tc>
          <w:tcPr>
            <w:tcW w:w="1083"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Водовідведення</w:t>
            </w:r>
          </w:p>
        </w:tc>
        <w:tc>
          <w:tcPr>
            <w:tcW w:w="590" w:type="dxa"/>
            <w:tcBorders>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м3</w:t>
            </w:r>
          </w:p>
        </w:tc>
        <w:tc>
          <w:tcPr>
            <w:tcW w:w="990"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8,268</w:t>
            </w:r>
          </w:p>
        </w:tc>
        <w:tc>
          <w:tcPr>
            <w:tcW w:w="107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10,98</w:t>
            </w:r>
          </w:p>
        </w:tc>
        <w:tc>
          <w:tcPr>
            <w:tcW w:w="96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12,87</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12,84</w:t>
            </w:r>
          </w:p>
        </w:tc>
        <w:tc>
          <w:tcPr>
            <w:tcW w:w="963"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12,84</w:t>
            </w:r>
          </w:p>
        </w:tc>
        <w:tc>
          <w:tcPr>
            <w:tcW w:w="1012"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15,4</w:t>
            </w:r>
          </w:p>
        </w:tc>
        <w:tc>
          <w:tcPr>
            <w:tcW w:w="1025" w:type="dxa"/>
            <w:tcBorders>
              <w:start w:val="single" w:sz="4" w:space="0" w:color="000000"/>
              <w:bottom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15,4</w:t>
            </w:r>
          </w:p>
        </w:tc>
        <w:tc>
          <w:tcPr>
            <w:tcW w:w="937" w:type="dxa"/>
            <w:tcBorders>
              <w:start w:val="single" w:sz="4" w:space="0" w:color="000000"/>
              <w:bottom w:val="single" w:sz="4" w:space="0" w:color="000000"/>
              <w:end w:val="single" w:sz="4" w:space="0" w:color="000000"/>
            </w:tcBorders>
          </w:tcPr>
          <w:p>
            <w:pPr>
              <w:pStyle w:val="Style20"/>
              <w:jc w:val="center"/>
              <w:rPr>
                <w:rFonts w:ascii="Times New Roman" w:hAnsi="Times New Roman"/>
                <w:sz w:val="16"/>
                <w:szCs w:val="16"/>
              </w:rPr>
            </w:pPr>
            <w:r>
              <w:rPr>
                <w:rFonts w:ascii="Times New Roman" w:hAnsi="Times New Roman"/>
                <w:sz w:val="16"/>
                <w:szCs w:val="16"/>
              </w:rPr>
              <w:t>15,4</w:t>
            </w:r>
          </w:p>
        </w:tc>
      </w:tr>
    </w:tbl>
    <w:p>
      <w:pPr>
        <w:pStyle w:val="Normal"/>
        <w:spacing w:before="0" w:after="0"/>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ascii="Times New Roman" w:hAnsi="Times New Roman"/>
          <w:sz w:val="22"/>
          <w:szCs w:val="22"/>
        </w:rPr>
      </w:r>
    </w:p>
    <w:p>
      <w:pPr>
        <w:pStyle w:val="Normal"/>
        <w:spacing w:lineRule="auto" w:line="259" w:before="0" w:after="0"/>
        <w:jc w:val="end"/>
        <w:rPr>
          <w:rFonts w:ascii="Times New Roman" w:hAnsi="Times New Roman"/>
          <w:sz w:val="22"/>
          <w:szCs w:val="22"/>
        </w:rPr>
      </w:pPr>
      <w:r>
        <w:rPr>
          <w:rFonts w:eastAsia="Century Gothic" w:cs="Century Gothic" w:ascii="Times New Roman" w:hAnsi="Times New Roman"/>
          <w:kern w:val="0"/>
          <w:sz w:val="22"/>
          <w:szCs w:val="22"/>
          <w:lang w:eastAsia="uk-UA"/>
        </w:rPr>
        <w:t xml:space="preserve">Таблиця </w:t>
      </w:r>
      <w:r>
        <w:rPr>
          <w:rFonts w:eastAsia="Century Gothic" w:cs="Century Gothic" w:ascii="Times New Roman" w:hAnsi="Times New Roman"/>
          <w:kern w:val="0"/>
          <w:sz w:val="22"/>
          <w:szCs w:val="22"/>
          <w:lang w:eastAsia="uk-UA"/>
        </w:rPr>
        <w:t>4</w:t>
      </w:r>
      <w:r>
        <w:rPr>
          <w:rFonts w:eastAsia="Century Gothic" w:cs="Century Gothic" w:ascii="Times New Roman" w:hAnsi="Times New Roman"/>
          <w:kern w:val="0"/>
          <w:sz w:val="22"/>
          <w:szCs w:val="22"/>
          <w:lang w:eastAsia="uk-UA"/>
        </w:rPr>
        <w:t xml:space="preserve"> </w:t>
      </w:r>
    </w:p>
    <w:p>
      <w:pPr>
        <w:pStyle w:val="Normal"/>
        <w:bidi w:val="0"/>
        <w:jc w:val="center"/>
        <w:rPr>
          <w:rFonts w:ascii="Times New Roman" w:hAnsi="Times New Roman"/>
          <w:b w:val="false"/>
          <w:bCs w:val="false"/>
          <w:sz w:val="22"/>
          <w:szCs w:val="22"/>
          <w:shd w:fill="auto" w:val="clear"/>
        </w:rPr>
      </w:pPr>
      <w:r>
        <w:rPr>
          <w:rFonts w:ascii="Times New Roman" w:hAnsi="Times New Roman"/>
          <w:b w:val="false"/>
          <w:bCs w:val="false"/>
          <w:i w:val="false"/>
          <w:strike w:val="false"/>
          <w:dstrike w:val="false"/>
          <w:outline w:val="false"/>
          <w:shadow w:val="false"/>
          <w:color w:val="000000"/>
          <w:sz w:val="22"/>
          <w:szCs w:val="22"/>
          <w:u w:val="none"/>
          <w:shd w:fill="auto" w:val="clear"/>
          <w:em w:val="none"/>
        </w:rPr>
        <w:t>Х</w:t>
      </w:r>
      <w:r>
        <w:rPr>
          <w:rFonts w:ascii="Times New Roman" w:hAnsi="Times New Roman"/>
          <w:b w:val="false"/>
          <w:bCs w:val="false"/>
          <w:i w:val="false"/>
          <w:strike w:val="false"/>
          <w:dstrike w:val="false"/>
          <w:outline w:val="false"/>
          <w:shadow w:val="false"/>
          <w:color w:val="000000"/>
          <w:sz w:val="22"/>
          <w:szCs w:val="22"/>
          <w:u w:val="none"/>
          <w:shd w:fill="auto" w:val="clear"/>
          <w:em w:val="none"/>
        </w:rPr>
        <w:t>арактеристики будівель комунальних підприємств, установ (закладів) та організацій</w:t>
      </w:r>
    </w:p>
    <w:p>
      <w:pPr>
        <w:pStyle w:val="Normal"/>
        <w:bidi w:val="0"/>
        <w:jc w:val="center"/>
        <w:rPr>
          <w:i w:val="false"/>
          <w:strike w:val="false"/>
          <w:dstrike w:val="false"/>
          <w:outline w:val="false"/>
          <w:shadow w:val="false"/>
          <w:color w:val="000000"/>
          <w:u w:val="none"/>
          <w:em w:val="none"/>
        </w:rPr>
      </w:pPr>
      <w:r>
        <w:rPr>
          <w:rFonts w:ascii="Times New Roman" w:hAnsi="Times New Roman"/>
          <w:b w:val="false"/>
          <w:bCs w:val="false"/>
          <w:sz w:val="22"/>
          <w:szCs w:val="22"/>
          <w:shd w:fill="auto" w:val="clear"/>
        </w:rPr>
      </w:r>
    </w:p>
    <w:tbl>
      <w:tblPr>
        <w:tblW w:w="5000" w:type="pct"/>
        <w:jc w:val="start"/>
        <w:tblInd w:w="-5" w:type="dxa"/>
        <w:tblLayout w:type="fixed"/>
        <w:tblCellMar>
          <w:top w:w="55" w:type="dxa"/>
          <w:start w:w="55" w:type="dxa"/>
          <w:bottom w:w="55" w:type="dxa"/>
          <w:end w:w="55" w:type="dxa"/>
        </w:tblCellMar>
      </w:tblPr>
      <w:tblGrid>
        <w:gridCol w:w="903"/>
        <w:gridCol w:w="815"/>
        <w:gridCol w:w="906"/>
        <w:gridCol w:w="763"/>
        <w:gridCol w:w="507"/>
        <w:gridCol w:w="853"/>
        <w:gridCol w:w="804"/>
        <w:gridCol w:w="1128"/>
        <w:gridCol w:w="1055"/>
        <w:gridCol w:w="996"/>
        <w:gridCol w:w="1044"/>
        <w:gridCol w:w="1953"/>
        <w:gridCol w:w="1961"/>
        <w:gridCol w:w="882"/>
      </w:tblGrid>
      <w:tr>
        <w:trPr/>
        <w:tc>
          <w:tcPr>
            <w:tcW w:w="90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81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90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76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50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8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80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12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05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996"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w:t>
            </w:r>
            <w:r>
              <w:rPr>
                <w:rFonts w:ascii="Times New Roman" w:hAnsi="Times New Roman"/>
                <w:b/>
                <w:bCs/>
                <w:sz w:val="16"/>
                <w:szCs w:val="16"/>
              </w:rPr>
              <w:t>водопос-тачання</w:t>
            </w:r>
          </w:p>
        </w:tc>
        <w:tc>
          <w:tcPr>
            <w:tcW w:w="104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Інформація щодо джерела постачання </w:t>
            </w:r>
            <w:r>
              <w:rPr>
                <w:rFonts w:ascii="Times New Roman" w:hAnsi="Times New Roman"/>
                <w:b/>
                <w:bCs/>
                <w:sz w:val="16"/>
                <w:szCs w:val="16"/>
              </w:rPr>
              <w:t>газа</w:t>
            </w:r>
          </w:p>
        </w:tc>
        <w:tc>
          <w:tcPr>
            <w:tcW w:w="1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196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882"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 xml:space="preserve">Балансоутримувач </w:t>
            </w:r>
            <w:r>
              <w:rPr>
                <w:rFonts w:ascii="Times New Roman" w:hAnsi="Times New Roman"/>
                <w:b/>
                <w:bCs/>
                <w:sz w:val="20"/>
                <w:szCs w:val="20"/>
              </w:rPr>
              <w:t xml:space="preserve">Управління житлово-комунального господарства та будівництва виконавчого комітету Покровської міської ради </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військомату</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вул. Героїв України, 15</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1974</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747,3</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747,3</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Індивідуальне електроопалення</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Електричний водонагрівач</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МКП «Покровводоканал»</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ДТЕК «Дніпровські електричні мережі»</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50</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міського суду</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 xml:space="preserve">вул. </w:t>
            </w:r>
            <w:r>
              <w:rPr>
                <w:rFonts w:ascii="Times New Roman" w:hAnsi="Times New Roman"/>
                <w:sz w:val="16"/>
                <w:szCs w:val="16"/>
              </w:rPr>
              <w:t>Торгова</w:t>
            </w:r>
            <w:r>
              <w:rPr>
                <w:rFonts w:ascii="Times New Roman" w:hAnsi="Times New Roman"/>
                <w:sz w:val="16"/>
                <w:szCs w:val="16"/>
              </w:rPr>
              <w:t xml:space="preserve">, </w:t>
            </w:r>
            <w:r>
              <w:rPr>
                <w:rFonts w:ascii="Times New Roman" w:hAnsi="Times New Roman"/>
                <w:sz w:val="16"/>
                <w:szCs w:val="16"/>
              </w:rPr>
              <w:t>37</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1953</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555,7</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555,7</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Індивідуальна газова топкова</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Електричний водонагрівач</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МКП «Покровводоканал»</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ДТЕК «Дніпровські електричні мережі»</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юнацької дитячої кімнати</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 xml:space="preserve">вул. </w:t>
            </w:r>
            <w:r>
              <w:rPr>
                <w:rFonts w:ascii="Times New Roman" w:hAnsi="Times New Roman"/>
                <w:sz w:val="16"/>
                <w:szCs w:val="16"/>
              </w:rPr>
              <w:t>Джонсона</w:t>
            </w:r>
            <w:r>
              <w:rPr>
                <w:rFonts w:ascii="Times New Roman" w:hAnsi="Times New Roman"/>
                <w:sz w:val="16"/>
                <w:szCs w:val="16"/>
              </w:rPr>
              <w:t xml:space="preserve">, </w:t>
            </w:r>
            <w:r>
              <w:rPr>
                <w:rFonts w:ascii="Times New Roman" w:hAnsi="Times New Roman"/>
                <w:sz w:val="16"/>
                <w:szCs w:val="16"/>
              </w:rPr>
              <w:t>26</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1988</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73,5</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водопровідної насосної станції</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м. Покров, </w:t>
            </w:r>
            <w:r>
              <w:rPr>
                <w:rFonts w:ascii="Times New Roman" w:hAnsi="Times New Roman"/>
                <w:sz w:val="16"/>
                <w:szCs w:val="16"/>
              </w:rPr>
              <w:t xml:space="preserve">Мозолевського, </w:t>
            </w:r>
            <w:r>
              <w:rPr>
                <w:rFonts w:ascii="Times New Roman" w:hAnsi="Times New Roman"/>
                <w:sz w:val="16"/>
                <w:szCs w:val="16"/>
              </w:rPr>
              <w:t>30а</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1994</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16,8</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аптеки</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w:t>
            </w:r>
            <w:r>
              <w:rPr>
                <w:rFonts w:ascii="Times New Roman" w:hAnsi="Times New Roman"/>
                <w:sz w:val="16"/>
                <w:szCs w:val="16"/>
              </w:rPr>
              <w:t>Нікопольський р-н., с.Шолохове, вул. Соборна, 10</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1917</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136,4</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r>
        <w:trPr/>
        <w:tc>
          <w:tcPr>
            <w:tcW w:w="90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Нежитлова будівля </w:t>
            </w:r>
            <w:r>
              <w:rPr>
                <w:rFonts w:ascii="Times New Roman" w:hAnsi="Times New Roman"/>
                <w:sz w:val="16"/>
                <w:szCs w:val="16"/>
              </w:rPr>
              <w:t>(</w:t>
            </w:r>
            <w:r>
              <w:rPr>
                <w:rFonts w:ascii="Times New Roman" w:hAnsi="Times New Roman"/>
                <w:sz w:val="16"/>
                <w:szCs w:val="16"/>
              </w:rPr>
              <w:t>Приміщення шкільної майстерні</w:t>
            </w:r>
            <w:r>
              <w:rPr>
                <w:rFonts w:ascii="Times New Roman" w:hAnsi="Times New Roman"/>
                <w:sz w:val="16"/>
                <w:szCs w:val="16"/>
              </w:rPr>
              <w:t>)</w:t>
            </w:r>
          </w:p>
        </w:tc>
        <w:tc>
          <w:tcPr>
            <w:tcW w:w="81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Дніпропетровська область, </w:t>
            </w:r>
            <w:r>
              <w:rPr>
                <w:rFonts w:ascii="Times New Roman" w:hAnsi="Times New Roman"/>
                <w:sz w:val="16"/>
                <w:szCs w:val="16"/>
              </w:rPr>
              <w:t xml:space="preserve">Нікопольський р-н., с.Шолохове, вул. </w:t>
            </w:r>
            <w:r>
              <w:rPr>
                <w:rFonts w:ascii="Times New Roman" w:hAnsi="Times New Roman"/>
                <w:sz w:val="16"/>
                <w:szCs w:val="16"/>
              </w:rPr>
              <w:t>Шкільна</w:t>
            </w:r>
            <w:r>
              <w:rPr>
                <w:rFonts w:ascii="Times New Roman" w:hAnsi="Times New Roman"/>
                <w:sz w:val="16"/>
                <w:szCs w:val="16"/>
              </w:rPr>
              <w:t xml:space="preserve">, </w:t>
            </w:r>
            <w:r>
              <w:rPr>
                <w:rFonts w:ascii="Times New Roman" w:hAnsi="Times New Roman"/>
                <w:sz w:val="16"/>
                <w:szCs w:val="16"/>
              </w:rPr>
              <w:t>5а</w:t>
            </w:r>
          </w:p>
        </w:tc>
        <w:tc>
          <w:tcPr>
            <w:tcW w:w="90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 xml:space="preserve">Громадська будівля </w:t>
            </w:r>
          </w:p>
        </w:tc>
        <w:tc>
          <w:tcPr>
            <w:tcW w:w="76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До 1917</w:t>
            </w:r>
          </w:p>
        </w:tc>
        <w:tc>
          <w:tcPr>
            <w:tcW w:w="507"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1</w:t>
            </w:r>
          </w:p>
        </w:tc>
        <w:tc>
          <w:tcPr>
            <w:tcW w:w="8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210</w:t>
            </w:r>
          </w:p>
        </w:tc>
        <w:tc>
          <w:tcPr>
            <w:tcW w:w="80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128"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55"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996"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044"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53"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1961" w:type="dxa"/>
            <w:tcBorders>
              <w:start w:val="single" w:sz="4" w:space="0" w:color="000000"/>
              <w:bottom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c>
          <w:tcPr>
            <w:tcW w:w="882" w:type="dxa"/>
            <w:tcBorders>
              <w:start w:val="single" w:sz="4" w:space="0" w:color="000000"/>
              <w:bottom w:val="single" w:sz="4" w:space="0" w:color="000000"/>
              <w:end w:val="single" w:sz="4" w:space="0" w:color="000000"/>
            </w:tcBorders>
          </w:tcPr>
          <w:p>
            <w:pPr>
              <w:pStyle w:val="Style20"/>
              <w:rPr>
                <w:rFonts w:ascii="Times New Roman" w:hAnsi="Times New Roman"/>
                <w:sz w:val="16"/>
                <w:szCs w:val="16"/>
              </w:rPr>
            </w:pPr>
            <w:r>
              <w:rPr>
                <w:rFonts w:ascii="Times New Roman" w:hAnsi="Times New Roman"/>
                <w:sz w:val="16"/>
                <w:szCs w:val="16"/>
              </w:rPr>
              <w:t>-</w:t>
            </w:r>
          </w:p>
        </w:tc>
      </w:tr>
    </w:tbl>
    <w:p>
      <w:pPr>
        <w:pStyle w:val="Normal"/>
        <w:spacing w:lineRule="auto" w:line="259" w:before="0" w:after="0"/>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headerReference w:type="default" r:id="rId56"/>
          <w:type w:val="nextPage"/>
          <w:pgSz w:orient="landscape" w:w="16838" w:h="11906"/>
          <w:pgMar w:left="1134" w:right="1134" w:gutter="0" w:header="1134" w:top="1693" w:footer="0" w:bottom="1134"/>
          <w:pgNumType w:fmt="decimal"/>
          <w:formProt w:val="false"/>
          <w:textDirection w:val="lrTb"/>
          <w:docGrid w:type="default" w:linePitch="312" w:charSpace="4294961151"/>
        </w:sectPr>
      </w:pPr>
      <w:r>
        <w:rPr/>
      </w:r>
      <w:r>
        <w:br w:type="page"/>
      </w:r>
    </w:p>
    <w:p>
      <w:pPr>
        <w:pStyle w:val="Normal"/>
        <w:ind w:firstLine="567"/>
        <w:jc w:val="both"/>
        <w:rPr>
          <w:rFonts w:ascii="Times New Roman" w:hAnsi="Times New Roman"/>
          <w:sz w:val="26"/>
          <w:szCs w:val="26"/>
        </w:rPr>
      </w:pPr>
      <w:r>
        <w:rPr>
          <w:rStyle w:val="Style13"/>
          <w:rFonts w:eastAsia="Century Gothic" w:cs="Century Gothic" w:ascii="Times New Roman" w:hAnsi="Times New Roman"/>
          <w:b w:val="false"/>
          <w:bCs w:val="false"/>
          <w:color w:val="000000"/>
          <w:kern w:val="0"/>
          <w:sz w:val="28"/>
          <w:szCs w:val="28"/>
          <w:lang w:eastAsia="uk-UA"/>
        </w:rPr>
        <w:t>Вихідні дані Управління праці та соціального захисту населення виконавчого комітету Покровської міської ради Дніпропетровської області та будівництва, що використовувались для розроблення муніципального енергетичного плану</w:t>
      </w:r>
    </w:p>
    <w:p>
      <w:pPr>
        <w:pStyle w:val="Normal"/>
        <w:jc w:val="end"/>
        <w:rPr>
          <w:rFonts w:ascii="Times New Roman" w:hAnsi="Times New Roman"/>
          <w:sz w:val="22"/>
          <w:szCs w:val="22"/>
        </w:rPr>
      </w:pPr>
      <w:r>
        <w:rPr>
          <w:rFonts w:ascii="Times New Roman" w:hAnsi="Times New Roman"/>
          <w:sz w:val="22"/>
          <w:szCs w:val="22"/>
        </w:rPr>
        <w:t>Таблиця 1</w:t>
      </w:r>
    </w:p>
    <w:p>
      <w:pPr>
        <w:pStyle w:val="Normal"/>
        <w:jc w:val="center"/>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 xml:space="preserve">Кількість та площа будівель </w:t>
      </w:r>
    </w:p>
    <w:tbl>
      <w:tblPr>
        <w:tblW w:w="9638" w:type="dxa"/>
        <w:jc w:val="start"/>
        <w:tblInd w:w="-5" w:type="dxa"/>
        <w:tblLayout w:type="fixed"/>
        <w:tblCellMar>
          <w:top w:w="55" w:type="dxa"/>
          <w:start w:w="55" w:type="dxa"/>
          <w:bottom w:w="55" w:type="dxa"/>
          <w:end w:w="55" w:type="dxa"/>
        </w:tblCellMar>
      </w:tblPr>
      <w:tblGrid>
        <w:gridCol w:w="1700"/>
        <w:gridCol w:w="1025"/>
        <w:gridCol w:w="1013"/>
        <w:gridCol w:w="1200"/>
        <w:gridCol w:w="1350"/>
        <w:gridCol w:w="1025"/>
        <w:gridCol w:w="1300"/>
        <w:gridCol w:w="1025"/>
      </w:tblGrid>
      <w:tr>
        <w:trPr/>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закладів</w:t>
            </w:r>
          </w:p>
        </w:tc>
        <w:tc>
          <w:tcPr>
            <w:tcW w:w="101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окремих</w:t>
            </w:r>
          </w:p>
          <w:p>
            <w:pPr>
              <w:pStyle w:val="Style20"/>
              <w:jc w:val="center"/>
              <w:rPr>
                <w:rFonts w:ascii="Times New Roman" w:hAnsi="Times New Roman"/>
                <w:b/>
                <w:bCs/>
                <w:sz w:val="20"/>
                <w:szCs w:val="20"/>
              </w:rPr>
            </w:pPr>
            <w:r>
              <w:rPr>
                <w:rFonts w:ascii="Times New Roman" w:hAnsi="Times New Roman"/>
                <w:b/>
                <w:bCs/>
                <w:sz w:val="20"/>
                <w:szCs w:val="20"/>
              </w:rPr>
              <w:t>власних</w:t>
            </w:r>
          </w:p>
          <w:p>
            <w:pPr>
              <w:pStyle w:val="Style20"/>
              <w:jc w:val="center"/>
              <w:rPr>
                <w:rFonts w:ascii="Times New Roman" w:hAnsi="Times New Roman"/>
                <w:b/>
                <w:bCs/>
                <w:sz w:val="20"/>
                <w:szCs w:val="20"/>
              </w:rPr>
            </w:pPr>
            <w:r>
              <w:rPr>
                <w:rFonts w:ascii="Times New Roman" w:hAnsi="Times New Roman"/>
                <w:b/>
                <w:bCs/>
                <w:sz w:val="20"/>
                <w:szCs w:val="20"/>
              </w:rPr>
              <w:t>будівель</w:t>
            </w:r>
          </w:p>
        </w:tc>
        <w:tc>
          <w:tcPr>
            <w:tcW w:w="12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w:t>
            </w:r>
          </w:p>
        </w:tc>
        <w:tc>
          <w:tcPr>
            <w:tcW w:w="135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Кількість</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що опалюються</w:t>
            </w:r>
          </w:p>
        </w:tc>
        <w:tc>
          <w:tcPr>
            <w:tcW w:w="102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всього м</w:t>
            </w:r>
            <w:r>
              <w:rPr>
                <w:rStyle w:val="Style13"/>
                <w:rFonts w:eastAsia="Times New Roman" w:cs="Times New Roman" w:ascii="Times New Roman" w:hAnsi="Times New Roman"/>
                <w:b/>
                <w:bCs/>
                <w:sz w:val="20"/>
                <w:szCs w:val="20"/>
              </w:rPr>
              <w:t>²</w:t>
            </w:r>
          </w:p>
        </w:tc>
        <w:tc>
          <w:tcPr>
            <w:tcW w:w="130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pPr>
            <w:r>
              <w:rPr>
                <w:rStyle w:val="Style13"/>
                <w:rFonts w:ascii="Times New Roman" w:hAnsi="Times New Roman"/>
                <w:b/>
                <w:bCs/>
                <w:sz w:val="20"/>
                <w:szCs w:val="20"/>
              </w:rPr>
              <w:t>що опалюються м</w:t>
            </w:r>
            <w:r>
              <w:rPr>
                <w:rStyle w:val="Style13"/>
                <w:rFonts w:eastAsia="Times New Roman" w:cs="Times New Roman" w:ascii="Times New Roman" w:hAnsi="Times New Roman"/>
                <w:b/>
                <w:bCs/>
                <w:sz w:val="20"/>
                <w:szCs w:val="20"/>
              </w:rPr>
              <w:t>²</w:t>
            </w:r>
          </w:p>
        </w:tc>
        <w:tc>
          <w:tcPr>
            <w:tcW w:w="102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Площа</w:t>
            </w:r>
          </w:p>
          <w:p>
            <w:pPr>
              <w:pStyle w:val="Style20"/>
              <w:jc w:val="center"/>
              <w:rPr>
                <w:rFonts w:ascii="Times New Roman" w:hAnsi="Times New Roman"/>
                <w:b/>
                <w:bCs/>
                <w:sz w:val="20"/>
                <w:szCs w:val="20"/>
              </w:rPr>
            </w:pPr>
            <w:r>
              <w:rPr>
                <w:rFonts w:ascii="Times New Roman" w:hAnsi="Times New Roman"/>
                <w:b/>
                <w:bCs/>
                <w:sz w:val="20"/>
                <w:szCs w:val="20"/>
              </w:rPr>
              <w:t>будівель</w:t>
            </w:r>
          </w:p>
          <w:p>
            <w:pPr>
              <w:pStyle w:val="Style20"/>
              <w:jc w:val="center"/>
              <w:rPr>
                <w:rFonts w:ascii="Times New Roman" w:hAnsi="Times New Roman"/>
                <w:b/>
                <w:bCs/>
                <w:sz w:val="20"/>
                <w:szCs w:val="20"/>
              </w:rPr>
            </w:pPr>
            <w:r>
              <w:rPr>
                <w:rFonts w:ascii="Times New Roman" w:hAnsi="Times New Roman"/>
                <w:b/>
                <w:bCs/>
                <w:sz w:val="20"/>
                <w:szCs w:val="20"/>
              </w:rPr>
              <w:t>займаних,</w:t>
            </w:r>
          </w:p>
          <w:p>
            <w:pPr>
              <w:pStyle w:val="Style20"/>
              <w:jc w:val="center"/>
              <w:rPr>
                <w:rFonts w:ascii="Times New Roman" w:hAnsi="Times New Roman"/>
                <w:b/>
                <w:bCs/>
                <w:sz w:val="20"/>
                <w:szCs w:val="20"/>
              </w:rPr>
            </w:pPr>
            <w:r>
              <w:rPr>
                <w:rFonts w:ascii="Times New Roman" w:hAnsi="Times New Roman"/>
                <w:b/>
                <w:bCs/>
                <w:sz w:val="20"/>
                <w:szCs w:val="20"/>
              </w:rPr>
              <w:t>всього, %</w:t>
            </w:r>
          </w:p>
        </w:tc>
      </w:tr>
      <w:tr>
        <w:trPr/>
        <w:tc>
          <w:tcPr>
            <w:tcW w:w="1700" w:type="dxa"/>
            <w:tcBorders>
              <w:start w:val="single" w:sz="4" w:space="0" w:color="000000"/>
              <w:bottom w:val="single" w:sz="4" w:space="0" w:color="000000"/>
            </w:tcBorders>
          </w:tcPr>
          <w:p>
            <w:pPr>
              <w:pStyle w:val="Style20"/>
              <w:jc w:val="center"/>
              <w:rPr>
                <w:rFonts w:ascii="Times New Roman" w:hAnsi="Times New Roman"/>
                <w:b/>
                <w:bCs/>
                <w:sz w:val="20"/>
                <w:szCs w:val="20"/>
              </w:rPr>
            </w:pPr>
            <w:r>
              <w:rPr>
                <w:rFonts w:ascii="Times New Roman" w:hAnsi="Times New Roman"/>
                <w:b/>
                <w:bCs/>
                <w:sz w:val="20"/>
                <w:szCs w:val="20"/>
              </w:rPr>
              <w:t>АДМІНБУДІВЛІ</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1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2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35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2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954,9</w:t>
            </w:r>
          </w:p>
        </w:tc>
        <w:tc>
          <w:tcPr>
            <w:tcW w:w="130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954,9</w:t>
            </w:r>
          </w:p>
        </w:tc>
        <w:tc>
          <w:tcPr>
            <w:tcW w:w="1025"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100</w:t>
            </w:r>
          </w:p>
        </w:tc>
      </w:tr>
    </w:tbl>
    <w:p>
      <w:pPr>
        <w:pStyle w:val="Normal"/>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sz w:val="22"/>
          <w:szCs w:val="22"/>
        </w:rPr>
      </w:r>
    </w:p>
    <w:p>
      <w:pPr>
        <w:pStyle w:val="Normal"/>
        <w:spacing w:lineRule="auto" w:line="252"/>
        <w:jc w:val="end"/>
        <w:rPr/>
      </w:pPr>
      <w:r>
        <w:rPr>
          <w:rStyle w:val="Style13"/>
          <w:rFonts w:eastAsia="Century Gothic" w:cs="Century Gothic" w:ascii="Times New Roman" w:hAnsi="Times New Roman"/>
          <w:kern w:val="0"/>
          <w:lang w:eastAsia="uk-UA"/>
        </w:rPr>
        <w:t>Таблиця 2</w:t>
      </w:r>
    </w:p>
    <w:p>
      <w:pPr>
        <w:pStyle w:val="Normal"/>
        <w:jc w:val="center"/>
        <w:rPr>
          <w:rFonts w:ascii="Times New Roman" w:hAnsi="Times New Roman"/>
        </w:rPr>
      </w:pPr>
      <w:r>
        <w:rPr>
          <w:rFonts w:ascii="Times New Roman" w:hAnsi="Times New Roman"/>
        </w:rPr>
        <w:t>Обсяги споживання енергоресурсів</w:t>
      </w:r>
    </w:p>
    <w:tbl>
      <w:tblPr>
        <w:tblW w:w="9662" w:type="dxa"/>
        <w:jc w:val="start"/>
        <w:tblInd w:w="-113" w:type="dxa"/>
        <w:tblLayout w:type="fixed"/>
        <w:tblCellMar>
          <w:top w:w="55" w:type="dxa"/>
          <w:start w:w="55" w:type="dxa"/>
          <w:bottom w:w="55" w:type="dxa"/>
          <w:end w:w="55" w:type="dxa"/>
        </w:tblCellMar>
      </w:tblPr>
      <w:tblGrid>
        <w:gridCol w:w="1875"/>
        <w:gridCol w:w="2038"/>
        <w:gridCol w:w="1987"/>
        <w:gridCol w:w="2038"/>
        <w:gridCol w:w="1724"/>
      </w:tblGrid>
      <w:tr>
        <w:trPr>
          <w:trHeight w:val="26" w:hRule="atLeast"/>
        </w:trPr>
        <w:tc>
          <w:tcPr>
            <w:tcW w:w="18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20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7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1875" w:type="dxa"/>
            <w:vMerge w:val="continue"/>
            <w:tcBorders>
              <w:top w:val="single" w:sz="4" w:space="0" w:color="000000"/>
              <w:start w:val="single" w:sz="4" w:space="0" w:color="000000"/>
              <w:bottom w:val="single" w:sz="4" w:space="0" w:color="000000"/>
            </w:tcBorders>
          </w:tcPr>
          <w:p>
            <w:pPr>
              <w:pStyle w:val="Normal"/>
              <w:rPr/>
            </w:pPr>
            <w:r>
              <w:rPr/>
            </w:r>
          </w:p>
        </w:tc>
        <w:tc>
          <w:tcPr>
            <w:tcW w:w="20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87"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25,169</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24,213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21,405</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2038" w:type="dxa"/>
            <w:tcBorders>
              <w:start w:val="single" w:sz="4" w:space="0" w:color="000000"/>
              <w:bottom w:val="single" w:sz="4" w:space="0" w:color="000000"/>
            </w:tcBorders>
          </w:tcPr>
          <w:p>
            <w:pPr>
              <w:pStyle w:val="Style20"/>
              <w:jc w:val="center"/>
              <w:rPr/>
            </w:pPr>
            <w:r>
              <w:rPr>
                <w:rStyle w:val="Style13"/>
                <w:rFonts w:ascii="Times New Roman" w:hAnsi="Times New Roman"/>
                <w:b/>
                <w:bCs/>
              </w:rPr>
              <w:t>тис.м</w:t>
            </w:r>
            <w:r>
              <w:rPr>
                <w:rStyle w:val="Style13"/>
                <w:rFonts w:eastAsia="Times New Roman" w:cs="Times New Roman" w:ascii="Times New Roman" w:hAnsi="Times New Roman"/>
                <w:b/>
                <w:bCs/>
              </w:rPr>
              <w:t>³</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66,95</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71,07</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68,53</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Дрова</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Вугілля</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Тонна</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Бензин</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r>
        <w:trPr>
          <w:trHeight w:val="26" w:hRule="atLeast"/>
        </w:trPr>
        <w:tc>
          <w:tcPr>
            <w:tcW w:w="18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Дизель</w:t>
            </w:r>
          </w:p>
        </w:tc>
        <w:tc>
          <w:tcPr>
            <w:tcW w:w="20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 л</w:t>
            </w:r>
          </w:p>
        </w:tc>
        <w:tc>
          <w:tcPr>
            <w:tcW w:w="1987"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2038"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w:t>
            </w:r>
          </w:p>
        </w:tc>
      </w:tr>
    </w:tbl>
    <w:p>
      <w:pPr>
        <w:pStyle w:val="Normal"/>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rPr>
      </w:r>
    </w:p>
    <w:p>
      <w:pPr>
        <w:pStyle w:val="Normal"/>
        <w:spacing w:lineRule="auto" w:line="252"/>
        <w:jc w:val="end"/>
        <w:rPr/>
      </w:pPr>
      <w:r>
        <w:rPr>
          <w:rStyle w:val="Style13"/>
          <w:rFonts w:eastAsia="Century Gothic" w:cs="Century Gothic" w:ascii="Times New Roman" w:hAnsi="Times New Roman"/>
          <w:kern w:val="0"/>
          <w:lang w:eastAsia="uk-UA"/>
        </w:rPr>
        <w:t xml:space="preserve">Таблиця </w:t>
      </w:r>
      <w:r>
        <w:rPr>
          <w:rStyle w:val="Style13"/>
          <w:rFonts w:eastAsia="Century Gothic" w:cs="Century Gothic" w:ascii="Times New Roman" w:hAnsi="Times New Roman"/>
          <w:kern w:val="0"/>
          <w:lang w:eastAsia="uk-UA"/>
        </w:rPr>
        <w:t>3</w:t>
      </w:r>
    </w:p>
    <w:p>
      <w:pPr>
        <w:pStyle w:val="Normal"/>
        <w:jc w:val="center"/>
        <w:rPr>
          <w:rFonts w:ascii="Times New Roman" w:hAnsi="Times New Roman"/>
        </w:rPr>
      </w:pPr>
      <w:r>
        <w:rPr>
          <w:rFonts w:ascii="Times New Roman" w:hAnsi="Times New Roman"/>
        </w:rPr>
        <w:t>Тарифи на комунальні послуги</w:t>
      </w:r>
    </w:p>
    <w:tbl>
      <w:tblPr>
        <w:tblW w:w="9662" w:type="dxa"/>
        <w:jc w:val="start"/>
        <w:tblInd w:w="-113" w:type="dxa"/>
        <w:tblLayout w:type="fixed"/>
        <w:tblCellMar>
          <w:top w:w="55" w:type="dxa"/>
          <w:start w:w="55" w:type="dxa"/>
          <w:bottom w:w="55" w:type="dxa"/>
          <w:end w:w="55" w:type="dxa"/>
        </w:tblCellMar>
      </w:tblPr>
      <w:tblGrid>
        <w:gridCol w:w="2775"/>
        <w:gridCol w:w="1638"/>
        <w:gridCol w:w="1925"/>
        <w:gridCol w:w="1600"/>
        <w:gridCol w:w="1724"/>
      </w:tblGrid>
      <w:tr>
        <w:trPr>
          <w:trHeight w:val="26" w:hRule="atLeast"/>
        </w:trPr>
        <w:tc>
          <w:tcPr>
            <w:tcW w:w="2775" w:type="dxa"/>
            <w:vMerge w:val="restart"/>
            <w:tcBorders>
              <w:top w:val="single" w:sz="4" w:space="0" w:color="000000"/>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Найменування</w:t>
            </w:r>
          </w:p>
        </w:tc>
        <w:tc>
          <w:tcPr>
            <w:tcW w:w="1638" w:type="dxa"/>
            <w:vMerge w:val="restart"/>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5249" w:type="dxa"/>
            <w:gridSpan w:val="3"/>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Роки</w:t>
            </w:r>
          </w:p>
        </w:tc>
      </w:tr>
      <w:tr>
        <w:trPr>
          <w:trHeight w:val="26" w:hRule="atLeast"/>
        </w:trPr>
        <w:tc>
          <w:tcPr>
            <w:tcW w:w="2775" w:type="dxa"/>
            <w:vMerge w:val="continue"/>
            <w:tcBorders>
              <w:top w:val="single" w:sz="4" w:space="0" w:color="000000"/>
              <w:start w:val="single" w:sz="4" w:space="0" w:color="000000"/>
              <w:bottom w:val="single" w:sz="4" w:space="0" w:color="000000"/>
            </w:tcBorders>
          </w:tcPr>
          <w:p>
            <w:pPr>
              <w:pStyle w:val="Normal"/>
              <w:rPr/>
            </w:pPr>
            <w:r>
              <w:rPr/>
            </w:r>
          </w:p>
        </w:tc>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rPr/>
            </w:pPr>
            <w:r>
              <w:rPr/>
            </w:r>
          </w:p>
        </w:tc>
        <w:tc>
          <w:tcPr>
            <w:tcW w:w="192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600"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Електроенергія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МВт*год</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4,88934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4,69045</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7,51559</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Природний газ</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тис.м3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Теплова енергія на опалення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Гкал</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5583,22</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5355,57</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6424,31</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Водопостачання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21,4</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21,4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Водовідведення</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15,4</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15,4</w:t>
            </w:r>
          </w:p>
        </w:tc>
      </w:tr>
      <w:tr>
        <w:trPr>
          <w:trHeight w:val="26" w:hRule="atLeast"/>
        </w:trPr>
        <w:tc>
          <w:tcPr>
            <w:tcW w:w="2775"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Послуга з управління побутовими відходами</w:t>
            </w:r>
          </w:p>
        </w:tc>
        <w:tc>
          <w:tcPr>
            <w:tcW w:w="1638" w:type="dxa"/>
            <w:tcBorders>
              <w:start w:val="single" w:sz="4" w:space="0" w:color="000000"/>
              <w:bottom w:val="single" w:sz="4" w:space="0" w:color="000000"/>
            </w:tcBorders>
          </w:tcPr>
          <w:p>
            <w:pPr>
              <w:pStyle w:val="Style20"/>
              <w:jc w:val="center"/>
              <w:rPr>
                <w:rFonts w:ascii="Times New Roman" w:hAnsi="Times New Roman"/>
                <w:b/>
                <w:bCs/>
              </w:rPr>
            </w:pPr>
            <w:r>
              <w:rPr>
                <w:rFonts w:ascii="Times New Roman" w:hAnsi="Times New Roman"/>
                <w:b/>
                <w:bCs/>
              </w:rPr>
              <w:t>м3</w:t>
            </w:r>
          </w:p>
        </w:tc>
        <w:tc>
          <w:tcPr>
            <w:tcW w:w="1925"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279,07</w:t>
            </w:r>
          </w:p>
        </w:tc>
        <w:tc>
          <w:tcPr>
            <w:tcW w:w="1600" w:type="dxa"/>
            <w:tcBorders>
              <w:start w:val="single" w:sz="4" w:space="0" w:color="000000"/>
              <w:bottom w:val="single" w:sz="4" w:space="0" w:color="000000"/>
            </w:tcBorders>
          </w:tcPr>
          <w:p>
            <w:pPr>
              <w:pStyle w:val="Style20"/>
              <w:jc w:val="center"/>
              <w:rPr>
                <w:rFonts w:ascii="Times New Roman" w:hAnsi="Times New Roman"/>
              </w:rPr>
            </w:pPr>
            <w:r>
              <w:rPr>
                <w:rFonts w:ascii="Times New Roman" w:hAnsi="Times New Roman"/>
              </w:rPr>
              <w:t>282,14</w:t>
            </w:r>
          </w:p>
        </w:tc>
        <w:tc>
          <w:tcPr>
            <w:tcW w:w="1724" w:type="dxa"/>
            <w:tcBorders>
              <w:start w:val="single" w:sz="4" w:space="0" w:color="000000"/>
              <w:bottom w:val="single" w:sz="4" w:space="0" w:color="000000"/>
              <w:end w:val="single" w:sz="4" w:space="0" w:color="000000"/>
            </w:tcBorders>
          </w:tcPr>
          <w:p>
            <w:pPr>
              <w:pStyle w:val="Style20"/>
              <w:jc w:val="center"/>
              <w:rPr>
                <w:rFonts w:ascii="Times New Roman" w:hAnsi="Times New Roman"/>
              </w:rPr>
            </w:pPr>
            <w:r>
              <w:rPr>
                <w:rFonts w:ascii="Times New Roman" w:hAnsi="Times New Roman"/>
              </w:rPr>
              <w:t>299,66</w:t>
            </w:r>
          </w:p>
        </w:tc>
      </w:tr>
    </w:tbl>
    <w:p>
      <w:pPr>
        <w:pStyle w:val="Normal"/>
        <w:spacing w:before="160" w:after="0"/>
        <w:jc w:val="end"/>
        <w:rPr>
          <w:sz w:val="22"/>
          <w:szCs w:val="22"/>
        </w:rPr>
      </w:pPr>
      <w:r>
        <w:rPr>
          <w:rFonts w:ascii="Times New Roman" w:hAnsi="Times New Roman"/>
        </w:rPr>
      </w:r>
    </w:p>
    <w:p>
      <w:pPr>
        <w:pStyle w:val="Normal"/>
        <w:spacing w:before="160" w:after="0"/>
        <w:jc w:val="end"/>
        <w:rPr>
          <w:sz w:val="22"/>
          <w:szCs w:val="22"/>
        </w:rPr>
      </w:pPr>
      <w:r>
        <w:rPr>
          <w:rFonts w:ascii="Times New Roman" w:hAnsi="Times New Roman"/>
        </w:rPr>
      </w:r>
    </w:p>
    <w:p>
      <w:pPr>
        <w:pStyle w:val="Normal"/>
        <w:spacing w:before="160" w:after="0"/>
        <w:jc w:val="end"/>
        <w:rPr>
          <w:rFonts w:ascii="Times New Roman" w:hAnsi="Times New Roman"/>
        </w:rPr>
      </w:pPr>
      <w:r>
        <w:rPr>
          <w:rFonts w:ascii="Times New Roman" w:hAnsi="Times New Roman"/>
          <w:sz w:val="22"/>
          <w:szCs w:val="22"/>
        </w:rPr>
        <w:t xml:space="preserve">Таблиця </w:t>
      </w:r>
      <w:r>
        <w:rPr>
          <w:rFonts w:ascii="Times New Roman" w:hAnsi="Times New Roman"/>
          <w:sz w:val="22"/>
          <w:szCs w:val="22"/>
        </w:rPr>
        <w:t>4</w:t>
      </w:r>
    </w:p>
    <w:p>
      <w:pPr>
        <w:pStyle w:val="Normal"/>
        <w:jc w:val="center"/>
        <w:rPr>
          <w:rFonts w:ascii="Times New Roman" w:hAnsi="Times New Roman"/>
        </w:rPr>
      </w:pPr>
      <w:r>
        <w:rPr>
          <w:rFonts w:ascii="Times New Roman" w:hAnsi="Times New Roman"/>
        </w:rPr>
      </w:r>
    </w:p>
    <w:p>
      <w:pPr>
        <w:pStyle w:val="Default"/>
        <w:jc w:val="center"/>
        <w:rPr/>
      </w:pPr>
      <w:r>
        <w:rPr>
          <w:rStyle w:val="Style13"/>
          <w:rFonts w:cs="Century Gothic"/>
          <w:color w:val="auto"/>
        </w:rPr>
        <w:t>Р</w:t>
      </w:r>
      <w:r>
        <w:rPr>
          <w:rStyle w:val="Style13"/>
          <w:rFonts w:cs="Century Gothic"/>
          <w:color w:val="auto"/>
          <w:sz w:val="22"/>
          <w:szCs w:val="22"/>
        </w:rPr>
        <w:t>ічне споживання палива транспортними засобами за видами палива</w:t>
      </w:r>
    </w:p>
    <w:tbl>
      <w:tblPr>
        <w:tblW w:w="9696" w:type="dxa"/>
        <w:jc w:val="start"/>
        <w:tblInd w:w="-103" w:type="dxa"/>
        <w:tblLayout w:type="fixed"/>
        <w:tblCellMar>
          <w:top w:w="55" w:type="dxa"/>
          <w:start w:w="55" w:type="dxa"/>
          <w:bottom w:w="55" w:type="dxa"/>
          <w:end w:w="55" w:type="dxa"/>
        </w:tblCellMar>
      </w:tblPr>
      <w:tblGrid>
        <w:gridCol w:w="2672"/>
        <w:gridCol w:w="2316"/>
        <w:gridCol w:w="1750"/>
        <w:gridCol w:w="1475"/>
        <w:gridCol w:w="1483"/>
      </w:tblGrid>
      <w:tr>
        <w:trPr>
          <w:trHeight w:val="27" w:hRule="atLeast"/>
        </w:trPr>
        <w:tc>
          <w:tcPr>
            <w:tcW w:w="2672"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Вид палива</w:t>
            </w:r>
          </w:p>
        </w:tc>
        <w:tc>
          <w:tcPr>
            <w:tcW w:w="2316"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Од. вим.</w:t>
            </w:r>
          </w:p>
        </w:tc>
        <w:tc>
          <w:tcPr>
            <w:tcW w:w="1750"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2022</w:t>
            </w:r>
          </w:p>
        </w:tc>
        <w:tc>
          <w:tcPr>
            <w:tcW w:w="1475" w:type="dxa"/>
            <w:tcBorders>
              <w:top w:val="single" w:sz="4" w:space="0" w:color="000000"/>
              <w:start w:val="single" w:sz="4" w:space="0" w:color="000000"/>
            </w:tcBorders>
          </w:tcPr>
          <w:p>
            <w:pPr>
              <w:pStyle w:val="Style20"/>
              <w:jc w:val="center"/>
              <w:rPr>
                <w:rFonts w:ascii="Times New Roman" w:hAnsi="Times New Roman"/>
                <w:b/>
                <w:bCs/>
              </w:rPr>
            </w:pPr>
            <w:r>
              <w:rPr>
                <w:rFonts w:ascii="Times New Roman" w:hAnsi="Times New Roman"/>
                <w:b/>
                <w:bCs/>
              </w:rPr>
              <w:t>2023</w:t>
            </w:r>
          </w:p>
        </w:tc>
        <w:tc>
          <w:tcPr>
            <w:tcW w:w="1483" w:type="dxa"/>
            <w:tcBorders>
              <w:top w:val="single" w:sz="4" w:space="0" w:color="000000"/>
              <w:start w:val="single" w:sz="4" w:space="0" w:color="000000"/>
              <w:end w:val="single" w:sz="4" w:space="0" w:color="000000"/>
            </w:tcBorders>
          </w:tcPr>
          <w:p>
            <w:pPr>
              <w:pStyle w:val="Style20"/>
              <w:jc w:val="center"/>
              <w:rPr>
                <w:rFonts w:ascii="Times New Roman" w:hAnsi="Times New Roman"/>
                <w:b/>
                <w:bCs/>
              </w:rPr>
            </w:pPr>
            <w:r>
              <w:rPr>
                <w:rFonts w:ascii="Times New Roman" w:hAnsi="Times New Roman"/>
                <w:b/>
                <w:bCs/>
              </w:rPr>
              <w:t>2024</w:t>
            </w:r>
          </w:p>
        </w:tc>
      </w:tr>
      <w:tr>
        <w:trPr>
          <w:trHeight w:val="27" w:hRule="atLeast"/>
        </w:trPr>
        <w:tc>
          <w:tcPr>
            <w:tcW w:w="267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31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,1</w:t>
            </w:r>
          </w:p>
        </w:tc>
        <w:tc>
          <w:tcPr>
            <w:tcW w:w="14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r>
              <w:rPr>
                <w:rFonts w:ascii="Times New Roman" w:hAnsi="Times New Roman"/>
                <w:sz w:val="22"/>
                <w:szCs w:val="22"/>
              </w:rPr>
              <w:t>8</w:t>
            </w:r>
          </w:p>
        </w:tc>
        <w:tc>
          <w:tcPr>
            <w:tcW w:w="148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w:t>
            </w:r>
            <w:r>
              <w:rPr>
                <w:rFonts w:ascii="Times New Roman" w:hAnsi="Times New Roman"/>
                <w:sz w:val="22"/>
                <w:szCs w:val="22"/>
              </w:rPr>
              <w:t>3</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7" w:hRule="atLeast"/>
        </w:trPr>
        <w:tc>
          <w:tcPr>
            <w:tcW w:w="26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31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75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8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bl>
    <w:p>
      <w:pPr>
        <w:pStyle w:val="Normal"/>
        <w:spacing w:lineRule="auto" w:line="254"/>
        <w:jc w:val="end"/>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Fonts w:ascii="Times New Roman" w:hAnsi="Times New Roman"/>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headerReference w:type="default" r:id="rId57"/>
          <w:headerReference w:type="first" r:id="rId58"/>
          <w:type w:val="nextPage"/>
          <w:pgSz w:w="11906" w:h="16838"/>
          <w:pgMar w:left="1701" w:right="850" w:gutter="0" w:header="0" w:top="1134" w:footer="0" w:bottom="1701"/>
          <w:pgNumType w:fmt="decimal"/>
          <w:formProt w:val="false"/>
          <w:textDirection w:val="lrTb"/>
          <w:docGrid w:type="default" w:linePitch="312" w:charSpace="4294961151"/>
        </w:sectPr>
      </w:pPr>
      <w:r>
        <w:rPr/>
      </w:r>
      <w:r>
        <w:br w:type="page"/>
      </w:r>
    </w:p>
    <w:p>
      <w:pPr>
        <w:pStyle w:val="Normal"/>
        <w:spacing w:lineRule="auto" w:line="252"/>
        <w:jc w:val="end"/>
        <w:rPr/>
      </w:pPr>
      <w:r>
        <w:rPr>
          <w:rStyle w:val="Style13"/>
          <w:rFonts w:eastAsia="Century Gothic" w:cs="Century Gothic" w:ascii="Times New Roman" w:hAnsi="Times New Roman"/>
          <w:kern w:val="0"/>
          <w:sz w:val="22"/>
          <w:szCs w:val="22"/>
          <w:lang w:eastAsia="uk-UA"/>
        </w:rPr>
        <w:t xml:space="preserve">Таблиця </w:t>
      </w:r>
      <w:r>
        <w:rPr>
          <w:rStyle w:val="Style13"/>
          <w:rFonts w:eastAsia="Century Gothic" w:cs="Century Gothic" w:ascii="Times New Roman" w:hAnsi="Times New Roman"/>
          <w:kern w:val="0"/>
          <w:sz w:val="22"/>
          <w:szCs w:val="22"/>
          <w:lang w:eastAsia="uk-UA"/>
        </w:rPr>
        <w:t>5</w:t>
      </w:r>
    </w:p>
    <w:p>
      <w:pPr>
        <w:pStyle w:val="Normal"/>
        <w:jc w:val="center"/>
        <w:rPr>
          <w:rFonts w:ascii="Times New Roman" w:hAnsi="Times New Roman"/>
          <w:b/>
          <w:color w:val="000000"/>
          <w:sz w:val="22"/>
          <w:szCs w:val="22"/>
        </w:rPr>
      </w:pPr>
      <w:r>
        <w:rPr>
          <w:rFonts w:ascii="Times New Roman" w:hAnsi="Times New Roman"/>
          <w:b/>
          <w:color w:val="000000"/>
          <w:sz w:val="22"/>
          <w:szCs w:val="22"/>
        </w:rPr>
      </w:r>
    </w:p>
    <w:p>
      <w:pPr>
        <w:pStyle w:val="Normal"/>
        <w:jc w:val="center"/>
        <w:rPr>
          <w:rFonts w:ascii="Times New Roman" w:hAnsi="Times New Roman"/>
          <w:color w:val="000000"/>
          <w:sz w:val="22"/>
          <w:szCs w:val="22"/>
        </w:rPr>
      </w:pPr>
      <w:r>
        <w:rPr>
          <w:rFonts w:ascii="Times New Roman" w:hAnsi="Times New Roman"/>
          <w:color w:val="000000"/>
          <w:sz w:val="22"/>
          <w:szCs w:val="22"/>
        </w:rPr>
      </w:r>
    </w:p>
    <w:p>
      <w:pPr>
        <w:pStyle w:val="Normal"/>
        <w:jc w:val="center"/>
        <w:rPr/>
      </w:pPr>
      <w:r>
        <w:rPr>
          <w:rStyle w:val="Style13"/>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5" w:type="dxa"/>
        <w:tblLayout w:type="fixed"/>
        <w:tblCellMar>
          <w:top w:w="55" w:type="dxa"/>
          <w:start w:w="55" w:type="dxa"/>
          <w:bottom w:w="55" w:type="dxa"/>
          <w:end w:w="55" w:type="dxa"/>
        </w:tblCellMar>
      </w:tblPr>
      <w:tblGrid>
        <w:gridCol w:w="1071"/>
        <w:gridCol w:w="964"/>
        <w:gridCol w:w="1074"/>
        <w:gridCol w:w="902"/>
        <w:gridCol w:w="602"/>
        <w:gridCol w:w="1008"/>
        <w:gridCol w:w="953"/>
        <w:gridCol w:w="1334"/>
        <w:gridCol w:w="1249"/>
        <w:gridCol w:w="1179"/>
        <w:gridCol w:w="1235"/>
        <w:gridCol w:w="974"/>
        <w:gridCol w:w="984"/>
        <w:gridCol w:w="1041"/>
      </w:tblGrid>
      <w:tr>
        <w:trPr/>
        <w:tc>
          <w:tcPr>
            <w:tcW w:w="1071"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96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Балансоутримувач (назва)</w:t>
            </w:r>
          </w:p>
        </w:tc>
      </w:tr>
      <w:tr>
        <w:trPr/>
        <w:tc>
          <w:tcPr>
            <w:tcW w:w="1071" w:type="dxa"/>
            <w:tcBorders>
              <w:start w:val="single" w:sz="4" w:space="0" w:color="000000"/>
              <w:bottom w:val="single" w:sz="4" w:space="0" w:color="000000"/>
            </w:tcBorders>
          </w:tcPr>
          <w:p>
            <w:pPr>
              <w:pStyle w:val="Style20"/>
              <w:rPr/>
            </w:pPr>
            <w:r>
              <w:rPr>
                <w:rStyle w:val="Style13"/>
                <w:rFonts w:ascii="Times New Roman" w:hAnsi="Times New Roman"/>
                <w:sz w:val="20"/>
                <w:szCs w:val="20"/>
                <w:lang w:val="ru-UA"/>
              </w:rPr>
              <w:t>Управ</w:t>
            </w:r>
            <w:r>
              <w:rPr>
                <w:rStyle w:val="Style13"/>
                <w:rFonts w:ascii="Times New Roman" w:hAnsi="Times New Roman"/>
                <w:sz w:val="20"/>
                <w:szCs w:val="20"/>
              </w:rPr>
              <w:t xml:space="preserve">ління праці та соціального захисту населення </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Вул.Залужного , 5</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адмінбудівля</w:t>
            </w:r>
          </w:p>
        </w:tc>
        <w:tc>
          <w:tcPr>
            <w:tcW w:w="9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1952</w:t>
            </w:r>
          </w:p>
        </w:tc>
        <w:tc>
          <w:tcPr>
            <w:tcW w:w="602"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954,9</w:t>
            </w:r>
          </w:p>
        </w:tc>
        <w:tc>
          <w:tcPr>
            <w:tcW w:w="953"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954,9</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Котел АТЕМ «Житомир-3» (2 од.)</w:t>
            </w:r>
          </w:p>
          <w:p>
            <w:pPr>
              <w:pStyle w:val="Style20"/>
              <w:rPr>
                <w:rFonts w:ascii="Times New Roman" w:hAnsi="Times New Roman"/>
                <w:sz w:val="20"/>
                <w:szCs w:val="20"/>
              </w:rPr>
            </w:pPr>
            <w:r>
              <w:rPr>
                <w:rFonts w:ascii="Times New Roman" w:hAnsi="Times New Roman"/>
                <w:sz w:val="20"/>
                <w:szCs w:val="20"/>
              </w:rPr>
              <w:t>ТОВ «Укртехресурс»</w:t>
            </w:r>
          </w:p>
        </w:tc>
        <w:tc>
          <w:tcPr>
            <w:tcW w:w="124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МКП «Покровводоканал»</w:t>
            </w:r>
          </w:p>
        </w:tc>
        <w:tc>
          <w:tcPr>
            <w:tcW w:w="1235"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120</w:t>
            </w:r>
          </w:p>
        </w:tc>
        <w:tc>
          <w:tcPr>
            <w:tcW w:w="984" w:type="dxa"/>
            <w:tcBorders>
              <w:start w:val="single" w:sz="4" w:space="0" w:color="000000"/>
              <w:bottom w:val="single" w:sz="4" w:space="0" w:color="000000"/>
            </w:tcBorders>
          </w:tcPr>
          <w:p>
            <w:pPr>
              <w:pStyle w:val="Style20"/>
              <w:rPr>
                <w:rFonts w:ascii="Times New Roman" w:hAnsi="Times New Roman" w:cs="Times New Roman"/>
                <w:sz w:val="20"/>
                <w:szCs w:val="20"/>
              </w:rPr>
            </w:pPr>
            <w:r>
              <w:rPr>
                <w:rFonts w:cs="Times New Roman" w:ascii="Times New Roman" w:hAnsi="Times New Roman"/>
                <w:sz w:val="20"/>
                <w:szCs w:val="20"/>
              </w:rPr>
              <w:t>ТОВ  «ЕНЕРГЕТИЧНИЙ БІЗНЕС»</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t>20</w:t>
            </w:r>
          </w:p>
        </w:tc>
      </w:tr>
    </w:tbl>
    <w:p>
      <w:pPr>
        <w:pStyle w:val="Normal"/>
        <w:spacing w:lineRule="auto" w:line="252"/>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
    </w:p>
    <w:p>
      <w:pPr>
        <w:pStyle w:val="BodyText"/>
        <w:widowControl/>
        <w:pBdr/>
        <w:spacing w:before="0" w:after="150"/>
        <w:ind w:firstLine="450" w:start="0" w:end="0"/>
        <w:jc w:val="both"/>
        <w:rPr/>
      </w:pP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xml:space="preserve">Вихідні дані </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ПМКП «Добробут»</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tabs>
          <w:tab w:val="clear" w:pos="709"/>
        </w:tabs>
        <w:ind w:start="360"/>
        <w:jc w:val="end"/>
        <w:rPr/>
      </w:pPr>
      <w:r>
        <w:rPr>
          <w:rStyle w:val="Style13"/>
          <w:rFonts w:ascii="Times New Roman" w:hAnsi="Times New Roman"/>
          <w:color w:val="000000"/>
        </w:rPr>
        <w:tab/>
        <w:t>Таблиця 1</w:t>
      </w:r>
    </w:p>
    <w:p>
      <w:pPr>
        <w:pStyle w:val="Normal"/>
        <w:jc w:val="center"/>
        <w:rPr>
          <w:rFonts w:ascii="Times New Roman" w:hAnsi="Times New Roman"/>
          <w:sz w:val="22"/>
          <w:szCs w:val="22"/>
        </w:rPr>
      </w:pPr>
      <w:r>
        <w:rPr>
          <w:rStyle w:val="Style13"/>
          <w:rFonts w:ascii="Times New Roman" w:hAnsi="Times New Roman"/>
          <w:color w:val="000000"/>
          <w:sz w:val="22"/>
          <w:szCs w:val="22"/>
        </w:rPr>
        <w:t>Загальна інформація про систему централізованого водопостачання і водовідведення</w:t>
      </w:r>
    </w:p>
    <w:tbl>
      <w:tblPr>
        <w:tblW w:w="9669" w:type="dxa"/>
        <w:jc w:val="start"/>
        <w:tblInd w:w="-103" w:type="dxa"/>
        <w:tblLayout w:type="fixed"/>
        <w:tblCellMar>
          <w:top w:w="55" w:type="dxa"/>
          <w:start w:w="55" w:type="dxa"/>
          <w:bottom w:w="55" w:type="dxa"/>
          <w:end w:w="55" w:type="dxa"/>
        </w:tblCellMar>
      </w:tblPr>
      <w:tblGrid>
        <w:gridCol w:w="643"/>
        <w:gridCol w:w="4791"/>
        <w:gridCol w:w="1209"/>
        <w:gridCol w:w="3026"/>
      </w:tblGrid>
      <w:tr>
        <w:trPr>
          <w:trHeight w:val="19" w:hRule="atLeast"/>
        </w:trPr>
        <w:tc>
          <w:tcPr>
            <w:tcW w:w="643"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4791"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209"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3026"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Значення</w:t>
            </w:r>
          </w:p>
        </w:tc>
      </w:tr>
      <w:tr>
        <w:trPr>
          <w:trHeight w:val="19" w:hRule="atLeast"/>
        </w:trPr>
        <w:tc>
          <w:tcPr>
            <w:tcW w:w="6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79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опор зовнішнього освітлення</w:t>
            </w:r>
          </w:p>
        </w:tc>
        <w:tc>
          <w:tcPr>
            <w:tcW w:w="1209"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523</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світлоточок (світильників) зовнішнього освітлення</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5870</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ламп</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start w:val="single" w:sz="4" w:space="0" w:color="000000"/>
              <w:bottom w:val="single" w:sz="4" w:space="0" w:color="000000"/>
              <w:end w:val="single" w:sz="4" w:space="0" w:color="000000"/>
            </w:tcBorders>
          </w:tcPr>
          <w:p>
            <w:pPr>
              <w:pStyle w:val="Style20"/>
              <w:rPr>
                <w:rFonts w:ascii="Times New Roman" w:hAnsi="Times New Roman"/>
                <w:sz w:val="22"/>
                <w:szCs w:val="22"/>
              </w:rPr>
            </w:pPr>
            <w:r>
              <w:rPr>
                <w:rFonts w:ascii="Times New Roman" w:hAnsi="Times New Roman"/>
                <w:sz w:val="22"/>
                <w:szCs w:val="22"/>
              </w:rPr>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Довжина лінії електропередач зовнішнього освітлення, всього</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252</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повітряних ліній</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243</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кабельних ліній</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w:t>
            </w:r>
          </w:p>
        </w:tc>
      </w:tr>
      <w:tr>
        <w:trPr>
          <w:trHeight w:val="19" w:hRule="atLeast"/>
        </w:trPr>
        <w:tc>
          <w:tcPr>
            <w:tcW w:w="6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479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електричних лічильників</w:t>
            </w:r>
          </w:p>
        </w:tc>
        <w:tc>
          <w:tcPr>
            <w:tcW w:w="120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97</w:t>
            </w:r>
          </w:p>
        </w:tc>
      </w:tr>
      <w:tr>
        <w:trPr>
          <w:trHeight w:val="19" w:hRule="atLeast"/>
        </w:trPr>
        <w:tc>
          <w:tcPr>
            <w:tcW w:w="6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w:t>
            </w:r>
          </w:p>
        </w:tc>
        <w:tc>
          <w:tcPr>
            <w:tcW w:w="479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Кількість шаф управління зовнішнім освітленням</w:t>
            </w:r>
          </w:p>
        </w:tc>
        <w:tc>
          <w:tcPr>
            <w:tcW w:w="1209"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3026"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r>
    </w:tbl>
    <w:p>
      <w:pPr>
        <w:pStyle w:val="Normal"/>
        <w:tabs>
          <w:tab w:val="clear" w:pos="709"/>
        </w:tabs>
        <w:spacing w:before="160" w:after="0"/>
        <w:ind w:start="360"/>
        <w:jc w:val="end"/>
        <w:rPr/>
      </w:pPr>
      <w:r>
        <w:rPr>
          <w:rStyle w:val="Style13"/>
          <w:rFonts w:ascii="Times New Roman" w:hAnsi="Times New Roman"/>
          <w:color w:val="000000"/>
          <w:sz w:val="22"/>
          <w:szCs w:val="22"/>
        </w:rPr>
        <w:t>Таблиця 2</w:t>
      </w:r>
    </w:p>
    <w:p>
      <w:pPr>
        <w:pStyle w:val="Normal"/>
        <w:jc w:val="center"/>
        <w:rPr>
          <w:rFonts w:ascii="Times New Roman" w:hAnsi="Times New Roman"/>
          <w:sz w:val="22"/>
          <w:szCs w:val="22"/>
        </w:rPr>
      </w:pPr>
      <w:r>
        <w:rPr>
          <w:rFonts w:ascii="Times New Roman" w:hAnsi="Times New Roman"/>
          <w:sz w:val="22"/>
          <w:szCs w:val="22"/>
        </w:rPr>
        <w:t>Річне споживання енергії об'єктами зовнішнього освітлення, Мвт·год</w:t>
      </w:r>
    </w:p>
    <w:tbl>
      <w:tblPr>
        <w:tblW w:w="9658" w:type="dxa"/>
        <w:jc w:val="start"/>
        <w:tblInd w:w="-93" w:type="dxa"/>
        <w:tblLayout w:type="fixed"/>
        <w:tblCellMar>
          <w:top w:w="55" w:type="dxa"/>
          <w:start w:w="55" w:type="dxa"/>
          <w:bottom w:w="55" w:type="dxa"/>
          <w:end w:w="55" w:type="dxa"/>
        </w:tblCellMar>
      </w:tblPr>
      <w:tblGrid>
        <w:gridCol w:w="2296"/>
        <w:gridCol w:w="2292"/>
        <w:gridCol w:w="1875"/>
        <w:gridCol w:w="1637"/>
        <w:gridCol w:w="1558"/>
      </w:tblGrid>
      <w:tr>
        <w:trPr>
          <w:trHeight w:val="24" w:hRule="atLeast"/>
        </w:trPr>
        <w:tc>
          <w:tcPr>
            <w:tcW w:w="2296"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2292"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875"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63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558"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4" w:hRule="atLeast"/>
        </w:trPr>
        <w:tc>
          <w:tcPr>
            <w:tcW w:w="229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Електрична енергія</w:t>
            </w:r>
          </w:p>
        </w:tc>
        <w:tc>
          <w:tcPr>
            <w:tcW w:w="229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кВт·год</w:t>
            </w:r>
          </w:p>
        </w:tc>
        <w:tc>
          <w:tcPr>
            <w:tcW w:w="187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648341</w:t>
            </w:r>
          </w:p>
        </w:tc>
        <w:tc>
          <w:tcPr>
            <w:tcW w:w="163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514366</w:t>
            </w:r>
          </w:p>
        </w:tc>
        <w:tc>
          <w:tcPr>
            <w:tcW w:w="155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566577</w:t>
            </w:r>
          </w:p>
        </w:tc>
      </w:tr>
    </w:tbl>
    <w:p>
      <w:pPr>
        <w:pStyle w:val="Normal"/>
        <w:tabs>
          <w:tab w:val="clear" w:pos="709"/>
        </w:tabs>
        <w:spacing w:before="160" w:after="0"/>
        <w:ind w:start="360"/>
        <w:jc w:val="end"/>
        <w:rPr/>
      </w:pPr>
      <w:r>
        <w:rPr>
          <w:rStyle w:val="Style13"/>
          <w:rFonts w:ascii="Times New Roman" w:hAnsi="Times New Roman"/>
          <w:color w:val="000000"/>
          <w:sz w:val="22"/>
          <w:szCs w:val="22"/>
        </w:rPr>
        <w:t>Таблиця 3</w:t>
      </w:r>
    </w:p>
    <w:p>
      <w:pPr>
        <w:pStyle w:val="Normal"/>
        <w:jc w:val="center"/>
        <w:rPr>
          <w:rFonts w:ascii="Times New Roman" w:hAnsi="Times New Roman"/>
          <w:color w:val="000000"/>
          <w:sz w:val="22"/>
          <w:szCs w:val="22"/>
        </w:rPr>
      </w:pPr>
      <w:r>
        <w:rPr>
          <w:rFonts w:ascii="Times New Roman" w:hAnsi="Times New Roman"/>
          <w:color w:val="000000"/>
          <w:sz w:val="22"/>
          <w:szCs w:val="22"/>
        </w:rPr>
        <w:t>Витрати коштів на зовнішнє освітлення за напрямками (з ПДВ), тис. грн.</w:t>
      </w:r>
    </w:p>
    <w:tbl>
      <w:tblPr>
        <w:tblW w:w="9775" w:type="dxa"/>
        <w:jc w:val="start"/>
        <w:tblInd w:w="-114" w:type="dxa"/>
        <w:tblLayout w:type="fixed"/>
        <w:tblCellMar>
          <w:top w:w="55" w:type="dxa"/>
          <w:start w:w="55" w:type="dxa"/>
          <w:bottom w:w="55" w:type="dxa"/>
          <w:end w:w="55" w:type="dxa"/>
        </w:tblCellMar>
      </w:tblPr>
      <w:tblGrid>
        <w:gridCol w:w="377"/>
        <w:gridCol w:w="4949"/>
        <w:gridCol w:w="1524"/>
        <w:gridCol w:w="1538"/>
        <w:gridCol w:w="1387"/>
      </w:tblGrid>
      <w:tr>
        <w:trPr>
          <w:trHeight w:val="20" w:hRule="atLeast"/>
        </w:trPr>
        <w:tc>
          <w:tcPr>
            <w:tcW w:w="37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4949"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524"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538"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387"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37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949"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 вулицях, дорогах, площах в межах населених пунктів</w:t>
            </w:r>
          </w:p>
        </w:tc>
        <w:tc>
          <w:tcPr>
            <w:tcW w:w="15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538"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8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0" w:hRule="atLeast"/>
        </w:trPr>
        <w:tc>
          <w:tcPr>
            <w:tcW w:w="37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94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 паркових зонах</w:t>
            </w:r>
          </w:p>
        </w:tc>
        <w:tc>
          <w:tcPr>
            <w:tcW w:w="15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53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8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20" w:hRule="atLeast"/>
        </w:trPr>
        <w:tc>
          <w:tcPr>
            <w:tcW w:w="37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949"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Витрати на споживання електроенергії, всього</w:t>
            </w:r>
          </w:p>
        </w:tc>
        <w:tc>
          <w:tcPr>
            <w:tcW w:w="15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4114,4</w:t>
            </w:r>
          </w:p>
        </w:tc>
        <w:tc>
          <w:tcPr>
            <w:tcW w:w="153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3777,4</w:t>
            </w:r>
          </w:p>
        </w:tc>
        <w:tc>
          <w:tcPr>
            <w:tcW w:w="138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5446,0</w:t>
            </w:r>
          </w:p>
        </w:tc>
      </w:tr>
    </w:tbl>
    <w:p>
      <w:pPr>
        <w:pStyle w:val="Normal"/>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rFonts w:ascii="Times New Roman" w:hAnsi="Times New Roman" w:eastAsia="Century Gothic" w:cs="Century Gothic"/>
          <w:b/>
          <w:bCs/>
          <w:i w:val="false"/>
          <w:caps w:val="false"/>
          <w:smallCaps w:val="false"/>
          <w:color w:val="000000"/>
          <w:spacing w:val="0"/>
          <w:kern w:val="0"/>
          <w:sz w:val="28"/>
          <w:szCs w:val="28"/>
          <w:shd w:fill="auto" w:val="clear"/>
          <w:lang w:eastAsia="uk-UA"/>
        </w:rPr>
      </w:pPr>
      <w:r>
        <w:rPr/>
      </w:r>
      <w:r>
        <w:br w:type="page"/>
      </w:r>
    </w:p>
    <w:p>
      <w:pPr>
        <w:pStyle w:val="BodyText"/>
        <w:widowControl/>
        <w:pBdr/>
        <w:spacing w:before="0" w:after="150"/>
        <w:ind w:firstLine="450" w:start="0" w:end="0"/>
        <w:jc w:val="both"/>
        <w:rPr/>
      </w:pP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xml:space="preserve">Вихідні дані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rPr>
        <w:t>МКП «ПОКРОВВОДОКАНАЛ»</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1</w:t>
      </w:r>
    </w:p>
    <w:p>
      <w:pPr>
        <w:pStyle w:val="Normal"/>
        <w:jc w:val="center"/>
        <w:rPr>
          <w:rFonts w:ascii="Times New Roman" w:hAnsi="Times New Roman"/>
          <w:sz w:val="22"/>
          <w:szCs w:val="22"/>
        </w:rPr>
      </w:pPr>
      <w:r>
        <w:rPr>
          <w:rFonts w:ascii="Times New Roman" w:hAnsi="Times New Roman"/>
          <w:sz w:val="22"/>
          <w:szCs w:val="22"/>
        </w:rPr>
        <w:t>Загальна інформація про систему централізованого водопостачання і водовідведення</w:t>
      </w:r>
    </w:p>
    <w:tbl>
      <w:tblPr>
        <w:tblW w:w="5000" w:type="pct"/>
        <w:jc w:val="start"/>
        <w:tblInd w:w="-5" w:type="dxa"/>
        <w:tblLayout w:type="fixed"/>
        <w:tblCellMar>
          <w:top w:w="55" w:type="dxa"/>
          <w:start w:w="55" w:type="dxa"/>
          <w:bottom w:w="55" w:type="dxa"/>
          <w:end w:w="55" w:type="dxa"/>
        </w:tblCellMar>
      </w:tblPr>
      <w:tblGrid>
        <w:gridCol w:w="443"/>
        <w:gridCol w:w="6936"/>
        <w:gridCol w:w="931"/>
        <w:gridCol w:w="1045"/>
      </w:tblGrid>
      <w:tr>
        <w:trPr>
          <w:trHeight w:val="20" w:hRule="atLeast"/>
        </w:trPr>
        <w:tc>
          <w:tcPr>
            <w:tcW w:w="44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693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9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045"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Значення</w:t>
            </w:r>
          </w:p>
        </w:tc>
      </w:tr>
      <w:tr>
        <w:trPr>
          <w:trHeight w:val="20" w:hRule="atLeast"/>
        </w:trPr>
        <w:tc>
          <w:tcPr>
            <w:tcW w:w="44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6936"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Чисельність населення, яке охоплене послугою централізованого водопостачання</w:t>
            </w:r>
          </w:p>
        </w:tc>
        <w:tc>
          <w:tcPr>
            <w:tcW w:w="93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чол.</w:t>
            </w:r>
          </w:p>
        </w:tc>
        <w:tc>
          <w:tcPr>
            <w:tcW w:w="1045"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44 444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Чисельність населення, яке охоплене послугою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чол.</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hd w:fill="FFFF00" w:val="clear"/>
              </w:rPr>
            </w:pPr>
            <w:r>
              <w:rPr>
                <w:rFonts w:ascii="Times New Roman" w:hAnsi="Times New Roman"/>
                <w:b/>
                <w:bCs/>
                <w:shd w:fill="auto" w:val="clear"/>
              </w:rPr>
              <w:t>40 372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споживачів послуг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21179</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3.1</w:t>
            </w:r>
          </w:p>
        </w:tc>
        <w:tc>
          <w:tcPr>
            <w:tcW w:w="6936" w:type="dxa"/>
            <w:tcBorders>
              <w:start w:val="single" w:sz="4" w:space="0" w:color="000000"/>
              <w:bottom w:val="single" w:sz="4" w:space="0" w:color="000000"/>
            </w:tcBorders>
          </w:tcPr>
          <w:p>
            <w:pPr>
              <w:pStyle w:val="Style20"/>
              <w:rPr/>
            </w:pPr>
            <w:r>
              <w:rPr>
                <w:rStyle w:val="Style12"/>
                <w:rFonts w:ascii="Times New Roman" w:hAnsi="Times New Roman"/>
                <w:sz w:val="22"/>
                <w:szCs w:val="22"/>
                <w:shd w:fill="auto" w:val="clear"/>
              </w:rPr>
              <w:t>- побутові споживачі (абоненти)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20761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3.2</w:t>
            </w:r>
          </w:p>
        </w:tc>
        <w:tc>
          <w:tcPr>
            <w:tcW w:w="6936" w:type="dxa"/>
            <w:tcBorders>
              <w:start w:val="single" w:sz="4" w:space="0" w:color="000000"/>
              <w:bottom w:val="single" w:sz="4" w:space="0" w:color="000000"/>
            </w:tcBorders>
          </w:tcPr>
          <w:p>
            <w:pPr>
              <w:pStyle w:val="Style20"/>
              <w:rPr>
                <w:rFonts w:ascii="Times New Roman" w:hAnsi="Times New Roman"/>
                <w:sz w:val="22"/>
                <w:szCs w:val="22"/>
                <w:shd w:fill="auto" w:val="clear"/>
              </w:rPr>
            </w:pPr>
            <w:r>
              <w:rPr>
                <w:rFonts w:ascii="Times New Roman" w:hAnsi="Times New Roman"/>
                <w:sz w:val="22"/>
                <w:szCs w:val="22"/>
                <w:shd w:fill="auto" w:val="clear"/>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3.3</w:t>
            </w:r>
          </w:p>
        </w:tc>
        <w:tc>
          <w:tcPr>
            <w:tcW w:w="6936" w:type="dxa"/>
            <w:tcBorders>
              <w:start w:val="single" w:sz="4" w:space="0" w:color="000000"/>
              <w:bottom w:val="single" w:sz="4" w:space="0" w:color="000000"/>
            </w:tcBorders>
          </w:tcPr>
          <w:p>
            <w:pPr>
              <w:pStyle w:val="Style20"/>
              <w:rPr>
                <w:rFonts w:ascii="Times New Roman" w:hAnsi="Times New Roman"/>
                <w:sz w:val="22"/>
                <w:szCs w:val="22"/>
                <w:shd w:fill="auto" w:val="clear"/>
              </w:rPr>
            </w:pPr>
            <w:r>
              <w:rPr>
                <w:rFonts w:ascii="Times New Roman" w:hAnsi="Times New Roman"/>
                <w:sz w:val="22"/>
                <w:szCs w:val="22"/>
                <w:shd w:fill="auto" w:val="clear"/>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6936" w:type="dxa"/>
            <w:tcBorders>
              <w:start w:val="single" w:sz="4" w:space="0" w:color="000000"/>
              <w:bottom w:val="single" w:sz="4" w:space="0" w:color="000000"/>
            </w:tcBorders>
          </w:tcPr>
          <w:p>
            <w:pPr>
              <w:pStyle w:val="Style20"/>
              <w:rPr>
                <w:rFonts w:ascii="Times New Roman" w:hAnsi="Times New Roman"/>
                <w:sz w:val="22"/>
                <w:szCs w:val="22"/>
                <w:shd w:fill="auto" w:val="clear"/>
              </w:rPr>
            </w:pPr>
            <w:r>
              <w:rPr>
                <w:rFonts w:ascii="Times New Roman" w:hAnsi="Times New Roman"/>
                <w:sz w:val="22"/>
                <w:szCs w:val="22"/>
                <w:shd w:fill="auto" w:val="clear"/>
              </w:rPr>
              <w:t>Кількість споживачів послуг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15674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15315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336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споживачів, які мають комерційні вузли обліку води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19423</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побутові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19005</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бюджетні установи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26</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інші споживачі</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392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водозабірних споруд з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Середньодобовий дебіт (продуктивність) поверхневих джерел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8</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водозабірних споруд з підземних джерел водопостачання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Середньодобовий дебіт свердловин</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м³/год</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Загальна кількість насосних станцій, всього в т.ч:</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насосні станції першого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насосні станції другого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насосні станції третього підйому</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водонапірних башт</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водопостачання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37</w:t>
            </w:r>
            <w:r>
              <w:rPr>
                <w:rFonts w:ascii="Times New Roman" w:hAnsi="Times New Roman"/>
                <w:sz w:val="22"/>
                <w:szCs w:val="22"/>
              </w:rPr>
              <w:t>3010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16</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водопостачання,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164444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очисних споруд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Виробнича потужність очисних споруд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м³/добу</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1000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Кількість насосних станцій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шт.</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водовідведення</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w:t>
            </w:r>
            <w:r>
              <w:rPr>
                <w:rFonts w:ascii="Times New Roman" w:hAnsi="Times New Roman"/>
                <w:sz w:val="22"/>
                <w:szCs w:val="22"/>
              </w:rPr>
              <w:t>1390</w:t>
            </w:r>
          </w:p>
        </w:tc>
      </w:tr>
      <w:tr>
        <w:trPr>
          <w:trHeight w:val="20" w:hRule="atLeast"/>
        </w:trPr>
        <w:tc>
          <w:tcPr>
            <w:tcW w:w="44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693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Довжина мереж централізованого водовідведення, які потребують заміни</w:t>
            </w:r>
          </w:p>
        </w:tc>
        <w:tc>
          <w:tcPr>
            <w:tcW w:w="9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км</w:t>
            </w:r>
          </w:p>
        </w:tc>
        <w:tc>
          <w:tcPr>
            <w:tcW w:w="1045"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120879</w:t>
            </w:r>
          </w:p>
        </w:tc>
      </w:tr>
    </w:tbl>
    <w:p>
      <w:pPr>
        <w:pStyle w:val="Normal"/>
        <w:spacing w:before="160" w:after="0"/>
        <w:jc w:val="end"/>
        <w:rPr>
          <w:rFonts w:ascii="Times New Roman" w:hAnsi="Times New Roman"/>
          <w:sz w:val="22"/>
          <w:szCs w:val="22"/>
        </w:rPr>
      </w:pPr>
      <w:r>
        <w:rPr>
          <w:rFonts w:ascii="Times New Roman" w:hAnsi="Times New Roman"/>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2</w:t>
      </w:r>
    </w:p>
    <w:p>
      <w:pPr>
        <w:pStyle w:val="Normal"/>
        <w:jc w:val="center"/>
        <w:rPr/>
      </w:pPr>
      <w:r>
        <w:rPr>
          <w:rStyle w:val="Style12"/>
          <w:rFonts w:ascii="Times New Roman" w:hAnsi="Times New Roman"/>
          <w:sz w:val="22"/>
          <w:szCs w:val="22"/>
        </w:rPr>
        <w:t>Обсяги використання води у системі централізованого водопостачання та водовідведення тис. м³</w:t>
      </w:r>
    </w:p>
    <w:tbl>
      <w:tblPr>
        <w:tblW w:w="9360" w:type="dxa"/>
        <w:jc w:val="start"/>
        <w:tblInd w:w="-5" w:type="dxa"/>
        <w:tblLayout w:type="fixed"/>
        <w:tblCellMar>
          <w:top w:w="55" w:type="dxa"/>
          <w:start w:w="55" w:type="dxa"/>
          <w:bottom w:w="55" w:type="dxa"/>
          <w:end w:w="55" w:type="dxa"/>
        </w:tblCellMar>
      </w:tblPr>
      <w:tblGrid>
        <w:gridCol w:w="431"/>
        <w:gridCol w:w="5239"/>
        <w:gridCol w:w="1185"/>
        <w:gridCol w:w="1425"/>
        <w:gridCol w:w="1080"/>
      </w:tblGrid>
      <w:tr>
        <w:trPr>
          <w:trHeight w:val="20" w:hRule="atLeast"/>
        </w:trPr>
        <w:tc>
          <w:tcPr>
            <w:tcW w:w="43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5239"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18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2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080"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43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5239" w:type="dxa"/>
            <w:tcBorders>
              <w:top w:val="single" w:sz="4" w:space="0" w:color="000000"/>
              <w:start w:val="single" w:sz="4" w:space="0" w:color="000000"/>
              <w:bottom w:val="single" w:sz="4" w:space="0" w:color="000000"/>
            </w:tcBorders>
          </w:tcPr>
          <w:p>
            <w:pPr>
              <w:pStyle w:val="Style20"/>
              <w:rPr/>
            </w:pPr>
            <w:r>
              <w:rPr>
                <w:rStyle w:val="Style12"/>
                <w:rFonts w:ascii="Times New Roman" w:hAnsi="Times New Roman"/>
                <w:color w:val="auto"/>
                <w:sz w:val="22"/>
                <w:szCs w:val="22"/>
              </w:rPr>
              <w:t>Річний обсяг виробництва питної води</w:t>
            </w:r>
          </w:p>
          <w:p>
            <w:pPr>
              <w:pStyle w:val="Style20"/>
              <w:jc w:val="end"/>
              <w:rPr/>
            </w:pPr>
            <w:r>
              <w:rPr>
                <w:rStyle w:val="Style12"/>
                <w:rFonts w:ascii="Times New Roman" w:hAnsi="Times New Roman"/>
                <w:color w:val="auto"/>
                <w:sz w:val="22"/>
                <w:szCs w:val="22"/>
              </w:rPr>
              <w:t>ПІДНЯТО</w:t>
            </w:r>
          </w:p>
          <w:p>
            <w:pPr>
              <w:pStyle w:val="Style20"/>
              <w:jc w:val="end"/>
              <w:rPr/>
            </w:pPr>
            <w:r>
              <w:rPr>
                <w:rStyle w:val="Style12"/>
                <w:rFonts w:ascii="Times New Roman" w:hAnsi="Times New Roman"/>
                <w:color w:val="auto"/>
                <w:sz w:val="22"/>
                <w:szCs w:val="22"/>
              </w:rPr>
              <w:t>ОЧИЩЕНО</w:t>
            </w:r>
          </w:p>
        </w:tc>
        <w:tc>
          <w:tcPr>
            <w:tcW w:w="118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2769,22</w:t>
            </w:r>
          </w:p>
          <w:p>
            <w:pPr>
              <w:pStyle w:val="Style20"/>
              <w:jc w:val="center"/>
              <w:rPr>
                <w:rFonts w:ascii="Times New Roman" w:hAnsi="Times New Roman"/>
                <w:color w:val="auto"/>
                <w:sz w:val="22"/>
                <w:szCs w:val="22"/>
              </w:rPr>
            </w:pPr>
            <w:r>
              <w:rPr>
                <w:rFonts w:ascii="Times New Roman" w:hAnsi="Times New Roman"/>
                <w:color w:val="auto"/>
                <w:sz w:val="22"/>
                <w:szCs w:val="22"/>
              </w:rPr>
              <w:t>2608,71</w:t>
            </w:r>
          </w:p>
        </w:tc>
        <w:tc>
          <w:tcPr>
            <w:tcW w:w="1425" w:type="dxa"/>
            <w:tcBorders>
              <w:top w:val="single" w:sz="4" w:space="0" w:color="000000"/>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2137,89</w:t>
            </w:r>
          </w:p>
          <w:p>
            <w:pPr>
              <w:pStyle w:val="Style20"/>
              <w:jc w:val="center"/>
              <w:rPr>
                <w:rFonts w:ascii="Times New Roman" w:hAnsi="Times New Roman"/>
                <w:color w:val="auto"/>
                <w:sz w:val="22"/>
                <w:szCs w:val="22"/>
              </w:rPr>
            </w:pPr>
            <w:r>
              <w:rPr>
                <w:rFonts w:ascii="Times New Roman" w:hAnsi="Times New Roman"/>
                <w:color w:val="auto"/>
                <w:sz w:val="22"/>
                <w:szCs w:val="22"/>
              </w:rPr>
              <w:t>2 054,55</w:t>
            </w:r>
          </w:p>
        </w:tc>
        <w:tc>
          <w:tcPr>
            <w:tcW w:w="108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3289,75</w:t>
            </w:r>
          </w:p>
          <w:p>
            <w:pPr>
              <w:pStyle w:val="Style20"/>
              <w:jc w:val="center"/>
              <w:rPr>
                <w:rFonts w:ascii="Times New Roman" w:hAnsi="Times New Roman"/>
                <w:color w:val="auto"/>
                <w:sz w:val="22"/>
                <w:szCs w:val="22"/>
              </w:rPr>
            </w:pPr>
            <w:r>
              <w:rPr>
                <w:rFonts w:ascii="Times New Roman" w:hAnsi="Times New Roman"/>
                <w:color w:val="auto"/>
                <w:sz w:val="22"/>
                <w:szCs w:val="22"/>
              </w:rPr>
              <w:t>3149,714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Річний обсяг втрат води</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1222,85</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963,09</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2058,95</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 при виробництві питної води</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633,12</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395,48</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1452,67</w:t>
            </w:r>
          </w:p>
          <w:p>
            <w:pPr>
              <w:pStyle w:val="Style20"/>
              <w:jc w:val="center"/>
              <w:rPr>
                <w:rFonts w:ascii="Times New Roman" w:hAnsi="Times New Roman"/>
                <w:color w:val="auto"/>
                <w:sz w:val="22"/>
                <w:szCs w:val="22"/>
              </w:rPr>
            </w:pPr>
            <w:r>
              <w:rPr>
                <w:rFonts w:ascii="Times New Roman" w:hAnsi="Times New Roman"/>
                <w:color w:val="auto"/>
                <w:sz w:val="22"/>
                <w:szCs w:val="22"/>
              </w:rPr>
              <w:t>(у т. ч.582,5 понаднормові)</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2.2</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 при транспортуванні питної води</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589,73</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567,61</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t>606,28</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5239" w:type="dxa"/>
            <w:tcBorders>
              <w:start w:val="single" w:sz="4" w:space="0" w:color="000000"/>
              <w:bottom w:val="single" w:sz="4" w:space="0" w:color="000000"/>
            </w:tcBorders>
          </w:tcPr>
          <w:p>
            <w:pPr>
              <w:pStyle w:val="Style20"/>
              <w:rPr>
                <w:rFonts w:ascii="Times New Roman" w:hAnsi="Times New Roman"/>
                <w:color w:val="auto"/>
                <w:sz w:val="22"/>
                <w:szCs w:val="22"/>
              </w:rPr>
            </w:pPr>
            <w:r>
              <w:rPr>
                <w:rFonts w:ascii="Times New Roman" w:hAnsi="Times New Roman"/>
                <w:color w:val="auto"/>
                <w:sz w:val="22"/>
                <w:szCs w:val="22"/>
              </w:rPr>
              <w:t>Річний обсяг питного водопостачання споживачам:</w:t>
            </w:r>
          </w:p>
          <w:p>
            <w:pPr>
              <w:pStyle w:val="Style20"/>
              <w:jc w:val="end"/>
              <w:rPr>
                <w:rFonts w:ascii="Times New Roman" w:hAnsi="Times New Roman"/>
                <w:color w:val="auto"/>
                <w:sz w:val="22"/>
                <w:szCs w:val="22"/>
              </w:rPr>
            </w:pPr>
            <w:r>
              <w:rPr>
                <w:rFonts w:ascii="Times New Roman" w:hAnsi="Times New Roman"/>
                <w:color w:val="auto"/>
                <w:sz w:val="22"/>
                <w:szCs w:val="22"/>
              </w:rPr>
              <w:t>ВСЬОГО</w:t>
            </w:r>
          </w:p>
          <w:p>
            <w:pPr>
              <w:pStyle w:val="Style20"/>
              <w:jc w:val="end"/>
              <w:rPr>
                <w:rFonts w:ascii="Times New Roman" w:hAnsi="Times New Roman"/>
                <w:color w:val="auto"/>
                <w:sz w:val="22"/>
                <w:szCs w:val="22"/>
              </w:rPr>
            </w:pPr>
            <w:r>
              <w:rPr>
                <w:rFonts w:ascii="Times New Roman" w:hAnsi="Times New Roman"/>
                <w:color w:val="auto"/>
                <w:sz w:val="22"/>
                <w:szCs w:val="22"/>
              </w:rPr>
              <w:t>ПИТНА</w:t>
            </w:r>
          </w:p>
          <w:p>
            <w:pPr>
              <w:pStyle w:val="Style20"/>
              <w:jc w:val="end"/>
              <w:rPr/>
            </w:pPr>
            <w:r>
              <w:rPr>
                <w:rStyle w:val="Style12"/>
                <w:rFonts w:ascii="Times New Roman" w:hAnsi="Times New Roman"/>
                <w:color w:val="auto"/>
                <w:sz w:val="22"/>
                <w:szCs w:val="22"/>
              </w:rPr>
              <w:t>ТЕХНІЧНА</w:t>
            </w:r>
          </w:p>
        </w:tc>
        <w:tc>
          <w:tcPr>
            <w:tcW w:w="118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1546,37</w:t>
            </w:r>
          </w:p>
          <w:p>
            <w:pPr>
              <w:pStyle w:val="Style20"/>
              <w:jc w:val="center"/>
              <w:rPr>
                <w:rFonts w:ascii="Times New Roman" w:hAnsi="Times New Roman"/>
                <w:color w:val="auto"/>
                <w:sz w:val="22"/>
                <w:szCs w:val="22"/>
              </w:rPr>
            </w:pPr>
            <w:r>
              <w:rPr>
                <w:rFonts w:ascii="Times New Roman" w:hAnsi="Times New Roman"/>
                <w:color w:val="auto"/>
                <w:sz w:val="22"/>
                <w:szCs w:val="22"/>
              </w:rPr>
              <w:t>1385,86</w:t>
            </w:r>
          </w:p>
          <w:p>
            <w:pPr>
              <w:pStyle w:val="Style20"/>
              <w:jc w:val="center"/>
              <w:rPr>
                <w:rFonts w:ascii="Times New Roman" w:hAnsi="Times New Roman"/>
                <w:color w:val="auto"/>
                <w:sz w:val="22"/>
                <w:szCs w:val="22"/>
              </w:rPr>
            </w:pPr>
            <w:r>
              <w:rPr>
                <w:rFonts w:ascii="Times New Roman" w:hAnsi="Times New Roman"/>
                <w:color w:val="auto"/>
                <w:sz w:val="22"/>
                <w:szCs w:val="22"/>
              </w:rPr>
              <w:t>160,51</w:t>
            </w:r>
          </w:p>
        </w:tc>
        <w:tc>
          <w:tcPr>
            <w:tcW w:w="1425" w:type="dxa"/>
            <w:tcBorders>
              <w:start w:val="single" w:sz="4" w:space="0" w:color="000000"/>
              <w:bottom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1174,80</w:t>
            </w:r>
          </w:p>
          <w:p>
            <w:pPr>
              <w:pStyle w:val="Style20"/>
              <w:jc w:val="center"/>
              <w:rPr>
                <w:rFonts w:ascii="Times New Roman" w:hAnsi="Times New Roman"/>
                <w:color w:val="auto"/>
                <w:sz w:val="22"/>
                <w:szCs w:val="22"/>
              </w:rPr>
            </w:pPr>
            <w:r>
              <w:rPr>
                <w:rFonts w:ascii="Times New Roman" w:hAnsi="Times New Roman"/>
                <w:color w:val="auto"/>
                <w:sz w:val="22"/>
                <w:szCs w:val="22"/>
              </w:rPr>
              <w:t>1091,46</w:t>
            </w:r>
          </w:p>
          <w:p>
            <w:pPr>
              <w:pStyle w:val="Style20"/>
              <w:jc w:val="center"/>
              <w:rPr>
                <w:rFonts w:ascii="Times New Roman" w:hAnsi="Times New Roman"/>
                <w:color w:val="auto"/>
                <w:sz w:val="22"/>
                <w:szCs w:val="22"/>
              </w:rPr>
            </w:pPr>
            <w:r>
              <w:rPr>
                <w:rFonts w:ascii="Times New Roman" w:hAnsi="Times New Roman"/>
                <w:color w:val="auto"/>
                <w:sz w:val="22"/>
                <w:szCs w:val="22"/>
              </w:rPr>
              <w:t>83,34</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color w:val="auto"/>
                <w:sz w:val="22"/>
                <w:szCs w:val="22"/>
              </w:rPr>
            </w:pPr>
            <w:r>
              <w:rPr>
                <w:rFonts w:ascii="Times New Roman" w:hAnsi="Times New Roman"/>
                <w:color w:val="auto"/>
                <w:sz w:val="22"/>
                <w:szCs w:val="22"/>
              </w:rPr>
            </w:r>
          </w:p>
          <w:p>
            <w:pPr>
              <w:pStyle w:val="Style20"/>
              <w:jc w:val="center"/>
              <w:rPr>
                <w:rFonts w:ascii="Times New Roman" w:hAnsi="Times New Roman"/>
                <w:color w:val="auto"/>
                <w:sz w:val="22"/>
                <w:szCs w:val="22"/>
              </w:rPr>
            </w:pPr>
            <w:r>
              <w:rPr>
                <w:rFonts w:ascii="Times New Roman" w:hAnsi="Times New Roman"/>
                <w:color w:val="auto"/>
                <w:sz w:val="22"/>
                <w:szCs w:val="22"/>
              </w:rPr>
              <w:t>1230,80</w:t>
            </w:r>
          </w:p>
          <w:p>
            <w:pPr>
              <w:pStyle w:val="Style20"/>
              <w:jc w:val="center"/>
              <w:rPr>
                <w:rFonts w:ascii="Times New Roman" w:hAnsi="Times New Roman"/>
                <w:color w:val="auto"/>
                <w:sz w:val="22"/>
                <w:szCs w:val="22"/>
              </w:rPr>
            </w:pPr>
            <w:r>
              <w:rPr>
                <w:rFonts w:ascii="Times New Roman" w:hAnsi="Times New Roman"/>
                <w:color w:val="auto"/>
                <w:sz w:val="22"/>
                <w:szCs w:val="22"/>
              </w:rPr>
              <w:t>1090,76</w:t>
            </w:r>
          </w:p>
          <w:p>
            <w:pPr>
              <w:pStyle w:val="Style20"/>
              <w:jc w:val="center"/>
              <w:rPr>
                <w:rFonts w:ascii="Times New Roman" w:hAnsi="Times New Roman"/>
                <w:color w:val="auto"/>
                <w:sz w:val="22"/>
                <w:szCs w:val="22"/>
              </w:rPr>
            </w:pPr>
            <w:r>
              <w:rPr>
                <w:rFonts w:ascii="Times New Roman" w:hAnsi="Times New Roman"/>
                <w:color w:val="auto"/>
                <w:sz w:val="22"/>
                <w:szCs w:val="22"/>
              </w:rPr>
              <w:t>140,04</w:t>
            </w:r>
          </w:p>
        </w:tc>
      </w:tr>
      <w:tr>
        <w:trPr>
          <w:trHeight w:val="20" w:hRule="atLeast"/>
        </w:trPr>
        <w:tc>
          <w:tcPr>
            <w:tcW w:w="43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5239"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Річний обсяг водовідведення</w:t>
            </w:r>
          </w:p>
        </w:tc>
        <w:tc>
          <w:tcPr>
            <w:tcW w:w="118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783,92</w:t>
            </w:r>
          </w:p>
        </w:tc>
        <w:tc>
          <w:tcPr>
            <w:tcW w:w="142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677,54</w:t>
            </w:r>
          </w:p>
        </w:tc>
        <w:tc>
          <w:tcPr>
            <w:tcW w:w="108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687,02</w:t>
            </w:r>
          </w:p>
        </w:tc>
      </w:tr>
    </w:tbl>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3</w:t>
      </w:r>
    </w:p>
    <w:p>
      <w:pPr>
        <w:pStyle w:val="Normal"/>
        <w:jc w:val="center"/>
        <w:rPr>
          <w:rFonts w:ascii="Times New Roman" w:hAnsi="Times New Roman"/>
          <w:sz w:val="22"/>
          <w:szCs w:val="22"/>
        </w:rPr>
      </w:pPr>
      <w:r>
        <w:rPr>
          <w:rFonts w:ascii="Times New Roman" w:hAnsi="Times New Roman"/>
          <w:sz w:val="22"/>
          <w:szCs w:val="22"/>
        </w:rPr>
        <w:t>Обсяги постачання води за категоріями споживачів, тис. м³</w:t>
      </w:r>
    </w:p>
    <w:tbl>
      <w:tblPr>
        <w:tblW w:w="5000" w:type="pct"/>
        <w:jc w:val="start"/>
        <w:tblInd w:w="-5" w:type="dxa"/>
        <w:tblLayout w:type="fixed"/>
        <w:tblCellMar>
          <w:top w:w="55" w:type="dxa"/>
          <w:start w:w="55" w:type="dxa"/>
          <w:bottom w:w="55" w:type="dxa"/>
          <w:end w:w="55" w:type="dxa"/>
        </w:tblCellMar>
      </w:tblPr>
      <w:tblGrid>
        <w:gridCol w:w="405"/>
        <w:gridCol w:w="4896"/>
        <w:gridCol w:w="1548"/>
        <w:gridCol w:w="1308"/>
        <w:gridCol w:w="1198"/>
      </w:tblGrid>
      <w:tr>
        <w:trPr>
          <w:trHeight w:val="27" w:hRule="atLeast"/>
        </w:trPr>
        <w:tc>
          <w:tcPr>
            <w:tcW w:w="40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489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54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30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19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7" w:hRule="atLeast"/>
        </w:trPr>
        <w:tc>
          <w:tcPr>
            <w:tcW w:w="40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896"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Побутові споживачі</w:t>
            </w:r>
          </w:p>
        </w:tc>
        <w:tc>
          <w:tcPr>
            <w:tcW w:w="1548"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1019,2</w:t>
            </w:r>
          </w:p>
        </w:tc>
        <w:tc>
          <w:tcPr>
            <w:tcW w:w="1308"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864,2</w:t>
            </w:r>
          </w:p>
        </w:tc>
        <w:tc>
          <w:tcPr>
            <w:tcW w:w="119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918,95</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89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Бюджетні установи</w:t>
            </w:r>
          </w:p>
        </w:tc>
        <w:tc>
          <w:tcPr>
            <w:tcW w:w="154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49,8</w:t>
            </w:r>
          </w:p>
        </w:tc>
        <w:tc>
          <w:tcPr>
            <w:tcW w:w="130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34,4</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39,43</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89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Інші споживачі</w:t>
            </w:r>
          </w:p>
        </w:tc>
        <w:tc>
          <w:tcPr>
            <w:tcW w:w="154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477,4</w:t>
            </w:r>
          </w:p>
        </w:tc>
        <w:tc>
          <w:tcPr>
            <w:tcW w:w="130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276,2</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272,42</w:t>
            </w:r>
          </w:p>
        </w:tc>
      </w:tr>
      <w:tr>
        <w:trPr>
          <w:trHeight w:val="27" w:hRule="atLeast"/>
        </w:trPr>
        <w:tc>
          <w:tcPr>
            <w:tcW w:w="40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4896"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Загальний обсяг водопостачання</w:t>
            </w:r>
          </w:p>
        </w:tc>
        <w:tc>
          <w:tcPr>
            <w:tcW w:w="154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1546,4</w:t>
            </w:r>
          </w:p>
        </w:tc>
        <w:tc>
          <w:tcPr>
            <w:tcW w:w="1308"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1174,8</w:t>
            </w:r>
          </w:p>
        </w:tc>
        <w:tc>
          <w:tcPr>
            <w:tcW w:w="1198"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1230,8</w:t>
            </w:r>
          </w:p>
        </w:tc>
      </w:tr>
    </w:tbl>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4</w:t>
      </w:r>
    </w:p>
    <w:p>
      <w:pPr>
        <w:pStyle w:val="Style20"/>
        <w:jc w:val="center"/>
        <w:rPr>
          <w:rFonts w:ascii="Times New Roman" w:hAnsi="Times New Roman"/>
          <w:sz w:val="22"/>
          <w:szCs w:val="22"/>
        </w:rPr>
      </w:pPr>
      <w:r>
        <w:rPr>
          <w:rFonts w:ascii="Times New Roman" w:hAnsi="Times New Roman"/>
          <w:sz w:val="22"/>
          <w:szCs w:val="22"/>
        </w:rPr>
        <w:t>Обсяги споживання електричної енергії на централізоване водопостачання і водовідведення, кВт*год</w:t>
      </w:r>
    </w:p>
    <w:tbl>
      <w:tblPr>
        <w:tblW w:w="5000" w:type="pct"/>
        <w:jc w:val="start"/>
        <w:tblInd w:w="-5" w:type="dxa"/>
        <w:tblLayout w:type="fixed"/>
        <w:tblCellMar>
          <w:top w:w="55" w:type="dxa"/>
          <w:start w:w="55" w:type="dxa"/>
          <w:bottom w:w="55" w:type="dxa"/>
          <w:end w:w="55" w:type="dxa"/>
        </w:tblCellMar>
      </w:tblPr>
      <w:tblGrid>
        <w:gridCol w:w="424"/>
        <w:gridCol w:w="5153"/>
        <w:gridCol w:w="1352"/>
        <w:gridCol w:w="1238"/>
        <w:gridCol w:w="1188"/>
      </w:tblGrid>
      <w:tr>
        <w:trPr>
          <w:trHeight w:val="19" w:hRule="atLeast"/>
        </w:trPr>
        <w:tc>
          <w:tcPr>
            <w:tcW w:w="42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51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35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23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188"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19" w:hRule="atLeast"/>
        </w:trPr>
        <w:tc>
          <w:tcPr>
            <w:tcW w:w="4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5153"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 спожита в системі водопостачання, всього</w:t>
            </w:r>
          </w:p>
        </w:tc>
        <w:tc>
          <w:tcPr>
            <w:tcW w:w="135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2 118 295</w:t>
            </w:r>
          </w:p>
        </w:tc>
        <w:tc>
          <w:tcPr>
            <w:tcW w:w="1238"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2 123 516</w:t>
            </w:r>
          </w:p>
        </w:tc>
        <w:tc>
          <w:tcPr>
            <w:tcW w:w="1188"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1 780 227</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виробництво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652 501</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584 390</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708 592</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транспортування питної води</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1 465 794</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1 539 126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1 071 635</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 спожита в системі водовідведення, всього</w:t>
            </w:r>
          </w:p>
        </w:tc>
        <w:tc>
          <w:tcPr>
            <w:tcW w:w="1352"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1 095 110</w:t>
            </w:r>
          </w:p>
        </w:tc>
        <w:tc>
          <w:tcPr>
            <w:tcW w:w="1238"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1 091 386</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1 118 463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транспортування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118 233</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119 575</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117 490</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2.2</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 на очищення стічних вод</w:t>
            </w:r>
          </w:p>
        </w:tc>
        <w:tc>
          <w:tcPr>
            <w:tcW w:w="1352"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976 877</w:t>
            </w:r>
          </w:p>
        </w:tc>
        <w:tc>
          <w:tcPr>
            <w:tcW w:w="1238" w:type="dxa"/>
            <w:tcBorders>
              <w:start w:val="single" w:sz="4" w:space="0" w:color="000000"/>
              <w:bottom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971 811</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i/>
                <w:iCs/>
                <w:sz w:val="22"/>
                <w:szCs w:val="22"/>
              </w:rPr>
            </w:pPr>
            <w:r>
              <w:rPr>
                <w:rFonts w:ascii="Times New Roman" w:hAnsi="Times New Roman"/>
                <w:i/>
                <w:iCs/>
                <w:sz w:val="22"/>
                <w:szCs w:val="22"/>
              </w:rPr>
              <w:t>1 000 973</w:t>
            </w:r>
          </w:p>
        </w:tc>
      </w:tr>
      <w:tr>
        <w:trPr>
          <w:trHeight w:val="19" w:hRule="atLeast"/>
        </w:trPr>
        <w:tc>
          <w:tcPr>
            <w:tcW w:w="4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515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Загальне споживання електричної енергії</w:t>
            </w:r>
          </w:p>
        </w:tc>
        <w:tc>
          <w:tcPr>
            <w:tcW w:w="1352"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3 213 405</w:t>
            </w:r>
          </w:p>
        </w:tc>
        <w:tc>
          <w:tcPr>
            <w:tcW w:w="1238" w:type="dxa"/>
            <w:tcBorders>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3 214 902</w:t>
            </w:r>
          </w:p>
        </w:tc>
        <w:tc>
          <w:tcPr>
            <w:tcW w:w="1188" w:type="dxa"/>
            <w:tcBorders>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2 898 690</w:t>
            </w:r>
          </w:p>
        </w:tc>
      </w:tr>
    </w:tbl>
    <w:p>
      <w:pPr>
        <w:pStyle w:val="Normal"/>
        <w:jc w:val="end"/>
        <w:rPr>
          <w:rFonts w:ascii="Times New Roman" w:hAnsi="Times New Roman"/>
          <w:color w:val="000000"/>
        </w:rPr>
      </w:pPr>
      <w:r>
        <w:rPr>
          <w:rFonts w:ascii="Times New Roman" w:hAnsi="Times New Roman"/>
          <w:color w:val="000000"/>
        </w:rPr>
      </w:r>
    </w:p>
    <w:p>
      <w:pPr>
        <w:pStyle w:val="Normal"/>
        <w:jc w:val="end"/>
        <w:rPr/>
      </w:pPr>
      <w:r>
        <w:rPr>
          <w:rStyle w:val="Style12"/>
          <w:rFonts w:ascii="Times New Roman" w:hAnsi="Times New Roman"/>
          <w:color w:val="000000"/>
        </w:rPr>
        <w:t xml:space="preserve">Таблиця </w:t>
      </w:r>
      <w:r>
        <w:rPr>
          <w:rStyle w:val="Style12"/>
          <w:rFonts w:ascii="Times New Roman" w:hAnsi="Times New Roman"/>
          <w:color w:val="000000"/>
        </w:rPr>
        <w:t>5</w:t>
      </w:r>
    </w:p>
    <w:p>
      <w:pPr>
        <w:pStyle w:val="Normal"/>
        <w:jc w:val="center"/>
        <w:rPr>
          <w:rFonts w:ascii="Times New Roman" w:hAnsi="Times New Roman"/>
          <w:color w:val="000000"/>
        </w:rPr>
      </w:pPr>
      <w:r>
        <w:rPr>
          <w:rFonts w:ascii="Times New Roman" w:hAnsi="Times New Roman"/>
          <w:color w:val="000000"/>
        </w:rPr>
        <w:t>Обсяги споживання енергії на централізоване водопостачання і водовідведення</w:t>
      </w:r>
    </w:p>
    <w:tbl>
      <w:tblPr>
        <w:tblW w:w="5000" w:type="pct"/>
        <w:jc w:val="start"/>
        <w:tblInd w:w="-5" w:type="dxa"/>
        <w:tblLayout w:type="fixed"/>
        <w:tblCellMar>
          <w:top w:w="55" w:type="dxa"/>
          <w:start w:w="55" w:type="dxa"/>
          <w:bottom w:w="55" w:type="dxa"/>
          <w:end w:w="55" w:type="dxa"/>
        </w:tblCellMar>
      </w:tblPr>
      <w:tblGrid>
        <w:gridCol w:w="383"/>
        <w:gridCol w:w="2743"/>
        <w:gridCol w:w="1976"/>
        <w:gridCol w:w="1572"/>
        <w:gridCol w:w="1472"/>
        <w:gridCol w:w="1209"/>
      </w:tblGrid>
      <w:tr>
        <w:trPr>
          <w:trHeight w:val="20" w:hRule="atLeast"/>
        </w:trPr>
        <w:tc>
          <w:tcPr>
            <w:tcW w:w="38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274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976"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57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7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209"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38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2743"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w:t>
            </w:r>
          </w:p>
        </w:tc>
        <w:tc>
          <w:tcPr>
            <w:tcW w:w="1976"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кВт·год</w:t>
            </w:r>
          </w:p>
        </w:tc>
        <w:tc>
          <w:tcPr>
            <w:tcW w:w="157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3 213,405</w:t>
            </w:r>
          </w:p>
        </w:tc>
        <w:tc>
          <w:tcPr>
            <w:tcW w:w="1472"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3 214,902</w:t>
            </w:r>
          </w:p>
        </w:tc>
        <w:tc>
          <w:tcPr>
            <w:tcW w:w="120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2 898,690</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Бензин</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Дизель</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Скраплений (зріджений) газ</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20" w:hRule="atLeast"/>
        </w:trPr>
        <w:tc>
          <w:tcPr>
            <w:tcW w:w="38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2743"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Стиснений газ (метан)</w:t>
            </w:r>
          </w:p>
        </w:tc>
        <w:tc>
          <w:tcPr>
            <w:tcW w:w="1976"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м3</w:t>
            </w:r>
          </w:p>
        </w:tc>
        <w:tc>
          <w:tcPr>
            <w:tcW w:w="15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47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20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bl>
    <w:p>
      <w:pPr>
        <w:pStyle w:val="Normal"/>
        <w:jc w:val="end"/>
        <w:rPr>
          <w:rFonts w:ascii="Times New Roman" w:hAnsi="Times New Roman"/>
          <w:sz w:val="22"/>
          <w:szCs w:val="22"/>
        </w:rPr>
      </w:pPr>
      <w:r>
        <w:rPr>
          <w:rFonts w:ascii="Times New Roman" w:hAnsi="Times New Roman"/>
          <w:sz w:val="22"/>
          <w:szCs w:val="22"/>
        </w:rPr>
      </w:r>
    </w:p>
    <w:p>
      <w:pPr>
        <w:pStyle w:val="Normal"/>
        <w:jc w:val="end"/>
        <w:rPr/>
      </w:pPr>
      <w:r>
        <w:rPr>
          <w:rStyle w:val="Style12"/>
          <w:rFonts w:ascii="Times New Roman" w:hAnsi="Times New Roman"/>
          <w:color w:val="000000"/>
          <w:sz w:val="22"/>
          <w:szCs w:val="22"/>
        </w:rPr>
        <w:t xml:space="preserve">Таблиця </w:t>
      </w:r>
      <w:r>
        <w:rPr>
          <w:rStyle w:val="Style12"/>
          <w:rFonts w:ascii="Times New Roman" w:hAnsi="Times New Roman"/>
          <w:color w:val="000000"/>
          <w:sz w:val="22"/>
          <w:szCs w:val="22"/>
        </w:rPr>
        <w:t>6</w:t>
      </w:r>
    </w:p>
    <w:p>
      <w:pPr>
        <w:pStyle w:val="Normal"/>
        <w:jc w:val="center"/>
        <w:rPr>
          <w:rFonts w:ascii="Times New Roman" w:hAnsi="Times New Roman"/>
          <w:sz w:val="22"/>
          <w:szCs w:val="22"/>
        </w:rPr>
      </w:pPr>
      <w:r>
        <w:rPr>
          <w:rFonts w:ascii="Times New Roman" w:hAnsi="Times New Roman"/>
          <w:sz w:val="22"/>
          <w:szCs w:val="22"/>
        </w:rPr>
        <w:t>Обсяги нарахування коштів за послугу централізованого водопостачання (з ПДВ), тис. грн</w:t>
      </w:r>
    </w:p>
    <w:tbl>
      <w:tblPr>
        <w:tblW w:w="5000" w:type="pct"/>
        <w:jc w:val="start"/>
        <w:tblInd w:w="-5" w:type="dxa"/>
        <w:tblLayout w:type="fixed"/>
        <w:tblCellMar>
          <w:top w:w="55" w:type="dxa"/>
          <w:start w:w="55" w:type="dxa"/>
          <w:bottom w:w="55" w:type="dxa"/>
          <w:end w:w="55" w:type="dxa"/>
        </w:tblCellMar>
      </w:tblPr>
      <w:tblGrid>
        <w:gridCol w:w="353"/>
        <w:gridCol w:w="4658"/>
        <w:gridCol w:w="1644"/>
        <w:gridCol w:w="1457"/>
        <w:gridCol w:w="1243"/>
      </w:tblGrid>
      <w:tr>
        <w:trPr>
          <w:trHeight w:val="20" w:hRule="atLeast"/>
        </w:trPr>
        <w:tc>
          <w:tcPr>
            <w:tcW w:w="3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465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64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57"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243"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35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658"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Побутові споживачі</w:t>
            </w:r>
          </w:p>
        </w:tc>
        <w:tc>
          <w:tcPr>
            <w:tcW w:w="164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21826,8</w:t>
            </w:r>
          </w:p>
        </w:tc>
        <w:tc>
          <w:tcPr>
            <w:tcW w:w="145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18511,68</w:t>
            </w:r>
          </w:p>
        </w:tc>
        <w:tc>
          <w:tcPr>
            <w:tcW w:w="1243"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19666,5</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65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Бюджетні установи</w:t>
            </w:r>
          </w:p>
        </w:tc>
        <w:tc>
          <w:tcPr>
            <w:tcW w:w="164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1065,72</w:t>
            </w:r>
          </w:p>
        </w:tc>
        <w:tc>
          <w:tcPr>
            <w:tcW w:w="14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736,68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844,46</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65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Інші споживачі</w:t>
            </w:r>
          </w:p>
        </w:tc>
        <w:tc>
          <w:tcPr>
            <w:tcW w:w="164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7717,56</w:t>
            </w:r>
          </w:p>
        </w:tc>
        <w:tc>
          <w:tcPr>
            <w:tcW w:w="14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5057,28</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4395,02</w:t>
            </w:r>
          </w:p>
        </w:tc>
      </w:tr>
      <w:tr>
        <w:trPr>
          <w:trHeight w:val="20" w:hRule="atLeast"/>
        </w:trPr>
        <w:tc>
          <w:tcPr>
            <w:tcW w:w="35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465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Загальний обсяг нарахувань (водопостачання)</w:t>
            </w:r>
          </w:p>
        </w:tc>
        <w:tc>
          <w:tcPr>
            <w:tcW w:w="164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30610,08</w:t>
            </w:r>
          </w:p>
        </w:tc>
        <w:tc>
          <w:tcPr>
            <w:tcW w:w="145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24305,64</w:t>
            </w:r>
          </w:p>
        </w:tc>
        <w:tc>
          <w:tcPr>
            <w:tcW w:w="1243"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24905,98</w:t>
            </w:r>
          </w:p>
        </w:tc>
      </w:tr>
    </w:tbl>
    <w:p>
      <w:pPr>
        <w:pStyle w:val="Normal"/>
        <w:jc w:val="end"/>
        <w:rPr>
          <w:rFonts w:ascii="Times New Roman" w:hAnsi="Times New Roman"/>
          <w:color w:val="000000"/>
          <w:sz w:val="22"/>
          <w:szCs w:val="22"/>
        </w:rPr>
      </w:pPr>
      <w:r>
        <w:rPr>
          <w:rFonts w:ascii="Times New Roman" w:hAnsi="Times New Roman"/>
          <w:color w:val="000000"/>
          <w:sz w:val="22"/>
          <w:szCs w:val="22"/>
        </w:rPr>
      </w:r>
    </w:p>
    <w:p>
      <w:pPr>
        <w:pStyle w:val="Normal"/>
        <w:jc w:val="end"/>
        <w:rPr>
          <w:rFonts w:ascii="Times New Roman" w:hAnsi="Times New Roman"/>
          <w:color w:val="000000"/>
          <w:sz w:val="22"/>
          <w:szCs w:val="22"/>
        </w:rPr>
      </w:pPr>
      <w:r>
        <w:rPr>
          <w:rFonts w:ascii="Times New Roman" w:hAnsi="Times New Roman"/>
          <w:color w:val="000000"/>
          <w:sz w:val="22"/>
          <w:szCs w:val="22"/>
        </w:rPr>
        <w:t xml:space="preserve">Таблиця </w:t>
      </w:r>
      <w:r>
        <w:rPr>
          <w:rFonts w:ascii="Times New Roman" w:hAnsi="Times New Roman"/>
          <w:color w:val="000000"/>
          <w:sz w:val="22"/>
          <w:szCs w:val="22"/>
        </w:rPr>
        <w:t>7</w:t>
      </w:r>
    </w:p>
    <w:p>
      <w:pPr>
        <w:pStyle w:val="Normal"/>
        <w:jc w:val="center"/>
        <w:rPr>
          <w:rFonts w:ascii="Times New Roman" w:hAnsi="Times New Roman"/>
          <w:sz w:val="22"/>
          <w:szCs w:val="22"/>
        </w:rPr>
      </w:pPr>
      <w:r>
        <w:rPr>
          <w:rFonts w:ascii="Times New Roman" w:hAnsi="Times New Roman"/>
          <w:sz w:val="22"/>
          <w:szCs w:val="22"/>
        </w:rPr>
        <w:t>Витрати на електричну енергію централізованого водопостачання і водовідведення (з ПДВ), тис. грн</w:t>
      </w:r>
    </w:p>
    <w:tbl>
      <w:tblPr>
        <w:tblW w:w="5000" w:type="pct"/>
        <w:jc w:val="start"/>
        <w:tblInd w:w="-5" w:type="dxa"/>
        <w:tblLayout w:type="fixed"/>
        <w:tblCellMar>
          <w:top w:w="55" w:type="dxa"/>
          <w:start w:w="55" w:type="dxa"/>
          <w:bottom w:w="55" w:type="dxa"/>
          <w:end w:w="55" w:type="dxa"/>
        </w:tblCellMar>
      </w:tblPr>
      <w:tblGrid>
        <w:gridCol w:w="352"/>
        <w:gridCol w:w="4828"/>
        <w:gridCol w:w="1434"/>
        <w:gridCol w:w="1484"/>
        <w:gridCol w:w="1257"/>
      </w:tblGrid>
      <w:tr>
        <w:trPr>
          <w:trHeight w:val="51" w:hRule="atLeast"/>
        </w:trPr>
        <w:tc>
          <w:tcPr>
            <w:tcW w:w="352"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w:t>
            </w:r>
          </w:p>
        </w:tc>
        <w:tc>
          <w:tcPr>
            <w:tcW w:w="4828"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434"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484" w:type="dxa"/>
            <w:tcBorders>
              <w:top w:val="single" w:sz="4" w:space="0" w:color="000000"/>
              <w:start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257"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51" w:hRule="atLeast"/>
        </w:trPr>
        <w:tc>
          <w:tcPr>
            <w:tcW w:w="35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4828" w:type="dxa"/>
            <w:tcBorders>
              <w:top w:val="single" w:sz="4" w:space="0" w:color="000000"/>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w:t>
            </w:r>
          </w:p>
          <w:p>
            <w:pPr>
              <w:pStyle w:val="Style20"/>
              <w:rPr>
                <w:rFonts w:ascii="Times New Roman" w:hAnsi="Times New Roman"/>
                <w:sz w:val="22"/>
                <w:szCs w:val="22"/>
              </w:rPr>
            </w:pPr>
            <w:r>
              <w:rPr>
                <w:rFonts w:ascii="Times New Roman" w:hAnsi="Times New Roman"/>
                <w:sz w:val="22"/>
                <w:szCs w:val="22"/>
              </w:rPr>
              <w:t>на питне водопостачання</w:t>
            </w:r>
          </w:p>
        </w:tc>
        <w:tc>
          <w:tcPr>
            <w:tcW w:w="143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11901,20</w:t>
            </w:r>
          </w:p>
        </w:tc>
        <w:tc>
          <w:tcPr>
            <w:tcW w:w="148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14423,86</w:t>
            </w:r>
          </w:p>
        </w:tc>
        <w:tc>
          <w:tcPr>
            <w:tcW w:w="1257"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14211,17</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482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Електрична енергія на водовідведення</w:t>
            </w:r>
          </w:p>
        </w:tc>
        <w:tc>
          <w:tcPr>
            <w:tcW w:w="14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5926,51</w:t>
            </w:r>
          </w:p>
        </w:tc>
        <w:tc>
          <w:tcPr>
            <w:tcW w:w="148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7988,57</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9730,21</w:t>
            </w:r>
          </w:p>
        </w:tc>
      </w:tr>
      <w:tr>
        <w:trPr>
          <w:trHeight w:val="51" w:hRule="atLeast"/>
        </w:trPr>
        <w:tc>
          <w:tcPr>
            <w:tcW w:w="35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4828" w:type="dxa"/>
            <w:tcBorders>
              <w:start w:val="single" w:sz="4" w:space="0" w:color="000000"/>
              <w:bottom w:val="single" w:sz="4" w:space="0" w:color="000000"/>
            </w:tcBorders>
          </w:tcPr>
          <w:p>
            <w:pPr>
              <w:pStyle w:val="Style20"/>
              <w:rPr>
                <w:rFonts w:ascii="Times New Roman" w:hAnsi="Times New Roman"/>
                <w:sz w:val="22"/>
                <w:szCs w:val="22"/>
              </w:rPr>
            </w:pPr>
            <w:r>
              <w:rPr>
                <w:rFonts w:ascii="Times New Roman" w:hAnsi="Times New Roman"/>
                <w:sz w:val="22"/>
                <w:szCs w:val="22"/>
              </w:rPr>
              <w:t>Загальні витрати на електроенергію</w:t>
            </w:r>
          </w:p>
        </w:tc>
        <w:tc>
          <w:tcPr>
            <w:tcW w:w="143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17827,71</w:t>
            </w:r>
          </w:p>
        </w:tc>
        <w:tc>
          <w:tcPr>
            <w:tcW w:w="148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22412,43</w:t>
            </w:r>
          </w:p>
        </w:tc>
        <w:tc>
          <w:tcPr>
            <w:tcW w:w="1257"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23941,38</w:t>
            </w:r>
          </w:p>
        </w:tc>
      </w:tr>
    </w:tbl>
    <w:p>
      <w:pPr>
        <w:pStyle w:val="Normal"/>
        <w:rPr/>
      </w:pPr>
      <w:r>
        <w:rPr>
          <w:rStyle w:val="Style12"/>
          <w:rFonts w:ascii="Times New Roman" w:hAnsi="Times New Roman"/>
          <w:b/>
          <w:bCs/>
          <w:color w:val="auto"/>
          <w:sz w:val="22"/>
          <w:szCs w:val="22"/>
        </w:rPr>
        <w:t>Суми з ПДВ (ел.ен.+розподіл+реактивна ел.ен)</w:t>
      </w:r>
    </w:p>
    <w:p>
      <w:pPr>
        <w:pStyle w:val="Normal"/>
        <w:tabs>
          <w:tab w:val="clear" w:pos="709"/>
        </w:tabs>
        <w:ind w:hanging="0" w:start="360" w:end="0"/>
        <w:jc w:val="end"/>
        <w:rPr>
          <w:rFonts w:ascii="Times New Roman" w:hAnsi="Times New Roman"/>
          <w:color w:val="000000"/>
          <w:sz w:val="22"/>
          <w:szCs w:val="22"/>
        </w:rPr>
      </w:pPr>
      <w:r>
        <w:rPr>
          <w:rFonts w:ascii="Times New Roman" w:hAnsi="Times New Roman"/>
          <w:color w:val="000000"/>
          <w:sz w:val="22"/>
          <w:szCs w:val="22"/>
        </w:rPr>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lang w:val="en-US"/>
        </w:rPr>
        <w:t>8</w:t>
      </w:r>
    </w:p>
    <w:p>
      <w:pPr>
        <w:pStyle w:val="Default"/>
        <w:jc w:val="center"/>
        <w:rPr>
          <w:rFonts w:ascii="Times New Roman" w:hAnsi="Times New Roman"/>
          <w:sz w:val="24"/>
          <w:szCs w:val="24"/>
        </w:rPr>
      </w:pPr>
      <w:r>
        <w:rPr>
          <w:rFonts w:cs="Century Gothic"/>
          <w:color w:val="auto"/>
          <w:sz w:val="24"/>
          <w:szCs w:val="24"/>
        </w:rPr>
        <w:t>Р</w:t>
      </w:r>
      <w:r>
        <w:rPr>
          <w:rFonts w:cs="Century Gothic"/>
          <w:color w:val="auto"/>
          <w:sz w:val="22"/>
          <w:szCs w:val="22"/>
        </w:rPr>
        <w:t>ічне споживання палива транспортними засобами за видами палива</w:t>
      </w:r>
    </w:p>
    <w:tbl>
      <w:tblPr>
        <w:tblW w:w="9645" w:type="dxa"/>
        <w:jc w:val="start"/>
        <w:tblInd w:w="-5" w:type="dxa"/>
        <w:tblLayout w:type="fixed"/>
        <w:tblCellMar>
          <w:top w:w="55" w:type="dxa"/>
          <w:start w:w="55" w:type="dxa"/>
          <w:bottom w:w="55" w:type="dxa"/>
          <w:end w:w="55" w:type="dxa"/>
        </w:tblCellMar>
      </w:tblPr>
      <w:tblGrid>
        <w:gridCol w:w="2812"/>
        <w:gridCol w:w="2437"/>
        <w:gridCol w:w="1841"/>
        <w:gridCol w:w="1295"/>
        <w:gridCol w:w="1260"/>
      </w:tblGrid>
      <w:tr>
        <w:trPr>
          <w:trHeight w:val="27" w:hRule="atLeast"/>
        </w:trPr>
        <w:tc>
          <w:tcPr>
            <w:tcW w:w="2812"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Вид палива</w:t>
            </w:r>
          </w:p>
        </w:tc>
        <w:tc>
          <w:tcPr>
            <w:tcW w:w="2437"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Од. вим.</w:t>
            </w:r>
          </w:p>
        </w:tc>
        <w:tc>
          <w:tcPr>
            <w:tcW w:w="1841"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2022</w:t>
            </w:r>
          </w:p>
        </w:tc>
        <w:tc>
          <w:tcPr>
            <w:tcW w:w="1295" w:type="dxa"/>
            <w:tcBorders>
              <w:top w:val="single" w:sz="4" w:space="0" w:color="000000"/>
              <w:start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2023</w:t>
            </w:r>
          </w:p>
        </w:tc>
        <w:tc>
          <w:tcPr>
            <w:tcW w:w="1260" w:type="dxa"/>
            <w:tcBorders>
              <w:top w:val="single" w:sz="4" w:space="0" w:color="000000"/>
              <w:start w:val="single" w:sz="4" w:space="0" w:color="000000"/>
              <w:end w:val="single" w:sz="4" w:space="0" w:color="000000"/>
            </w:tcBorders>
            <w:shd w:fill="DDDDDD" w:val="clear"/>
          </w:tcPr>
          <w:p>
            <w:pPr>
              <w:pStyle w:val="Style20"/>
              <w:jc w:val="center"/>
              <w:rPr>
                <w:rFonts w:ascii="Times New Roman" w:hAnsi="Times New Roman"/>
                <w:b/>
                <w:bCs/>
                <w:sz w:val="24"/>
                <w:szCs w:val="24"/>
              </w:rPr>
            </w:pPr>
            <w:r>
              <w:rPr>
                <w:rFonts w:ascii="Times New Roman" w:hAnsi="Times New Roman"/>
                <w:b/>
                <w:bCs/>
                <w:sz w:val="24"/>
                <w:szCs w:val="24"/>
              </w:rPr>
              <w:t>2024</w:t>
            </w:r>
          </w:p>
        </w:tc>
      </w:tr>
      <w:tr>
        <w:trPr>
          <w:trHeight w:val="27" w:hRule="atLeast"/>
        </w:trPr>
        <w:tc>
          <w:tcPr>
            <w:tcW w:w="2812"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Бензин</w:t>
            </w:r>
          </w:p>
        </w:tc>
        <w:tc>
          <w:tcPr>
            <w:tcW w:w="243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10,030</w:t>
            </w:r>
          </w:p>
        </w:tc>
        <w:tc>
          <w:tcPr>
            <w:tcW w:w="129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11,300</w:t>
            </w:r>
          </w:p>
        </w:tc>
        <w:tc>
          <w:tcPr>
            <w:tcW w:w="126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10,910</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Дизель</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18,710</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21,290</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28,285</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Скраплений газ</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11,997</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13,551</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13,355</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Стиснений газ (метан)</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тис. л</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r>
      <w:tr>
        <w:trPr>
          <w:trHeight w:val="27" w:hRule="atLeast"/>
        </w:trPr>
        <w:tc>
          <w:tcPr>
            <w:tcW w:w="2812"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Нафтопродукти (Разом)</w:t>
            </w:r>
          </w:p>
        </w:tc>
        <w:tc>
          <w:tcPr>
            <w:tcW w:w="243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МВт·год</w:t>
            </w:r>
          </w:p>
        </w:tc>
        <w:tc>
          <w:tcPr>
            <w:tcW w:w="1841"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95" w:type="dxa"/>
            <w:tcBorders>
              <w:start w:val="single" w:sz="4" w:space="0" w:color="000000"/>
              <w:bottom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c>
          <w:tcPr>
            <w:tcW w:w="1260"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lang w:val="en-US"/>
              </w:rPr>
            </w:pPr>
            <w:r>
              <w:rPr>
                <w:rFonts w:ascii="Times New Roman" w:hAnsi="Times New Roman"/>
                <w:sz w:val="22"/>
                <w:szCs w:val="22"/>
                <w:lang w:val="en-US"/>
              </w:rPr>
              <w:t>-</w:t>
            </w:r>
          </w:p>
        </w:tc>
      </w:tr>
    </w:tbl>
    <w:p>
      <w:pPr>
        <w:pStyle w:val="Normal"/>
        <w:spacing w:lineRule="auto" w:line="259" w:before="0" w:after="0"/>
        <w:jc w:val="end"/>
        <w:rPr>
          <w:rFonts w:ascii="Times New Roman" w:hAnsi="Times New Roman" w:eastAsia="Century Gothic" w:cs="Century Gothic"/>
          <w:kern w:val="0"/>
          <w:sz w:val="24"/>
          <w:szCs w:val="24"/>
          <w:lang w:eastAsia="uk-UA"/>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kern w:val="0"/>
          <w:sz w:val="24"/>
          <w:szCs w:val="24"/>
          <w:lang w:eastAsia="uk-UA"/>
        </w:rPr>
      </w:r>
      <w:r>
        <w:br w:type="page"/>
      </w:r>
    </w:p>
    <w:p>
      <w:pPr>
        <w:pStyle w:val="Normal"/>
        <w:spacing w:lineRule="auto" w:line="254"/>
        <w:jc w:val="end"/>
        <w:rPr/>
      </w:pPr>
      <w:r>
        <w:rPr>
          <w:rStyle w:val="Style12"/>
          <w:rFonts w:eastAsia="Century Gothic" w:cs="Century Gothic" w:ascii="Times New Roman" w:hAnsi="Times New Roman"/>
          <w:kern w:val="0"/>
          <w:sz w:val="22"/>
          <w:szCs w:val="22"/>
          <w:lang w:eastAsia="uk-UA"/>
        </w:rPr>
        <w:t>Таблиця 9</w:t>
      </w:r>
    </w:p>
    <w:p>
      <w:pPr>
        <w:pStyle w:val="Normal"/>
        <w:jc w:val="center"/>
        <w:rPr>
          <w:rFonts w:ascii="Times New Roman" w:hAnsi="Times New Roman"/>
          <w:color w:val="000000"/>
          <w:sz w:val="22"/>
          <w:szCs w:val="22"/>
        </w:rPr>
      </w:pPr>
      <w:r>
        <w:rPr>
          <w:rFonts w:ascii="Times New Roman" w:hAnsi="Times New Roman"/>
          <w:color w:val="000000"/>
          <w:sz w:val="22"/>
          <w:szCs w:val="22"/>
        </w:rPr>
        <w:t>Характеристики будівель комунальних підприємств, установ (закладів) та організацій</w:t>
      </w:r>
    </w:p>
    <w:tbl>
      <w:tblPr>
        <w:tblW w:w="14570" w:type="dxa"/>
        <w:jc w:val="start"/>
        <w:tblInd w:w="-5" w:type="dxa"/>
        <w:tblLayout w:type="fixed"/>
        <w:tblCellMar>
          <w:top w:w="55" w:type="dxa"/>
          <w:start w:w="55" w:type="dxa"/>
          <w:bottom w:w="55" w:type="dxa"/>
          <w:end w:w="55" w:type="dxa"/>
        </w:tblCellMar>
      </w:tblPr>
      <w:tblGrid>
        <w:gridCol w:w="1071"/>
        <w:gridCol w:w="964"/>
        <w:gridCol w:w="1074"/>
        <w:gridCol w:w="902"/>
        <w:gridCol w:w="602"/>
        <w:gridCol w:w="1008"/>
        <w:gridCol w:w="953"/>
        <w:gridCol w:w="1334"/>
        <w:gridCol w:w="1249"/>
        <w:gridCol w:w="1179"/>
        <w:gridCol w:w="1235"/>
        <w:gridCol w:w="974"/>
        <w:gridCol w:w="984"/>
        <w:gridCol w:w="1041"/>
      </w:tblGrid>
      <w:tr>
        <w:trPr/>
        <w:tc>
          <w:tcPr>
            <w:tcW w:w="1071"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Назва об'єкту</w:t>
            </w:r>
          </w:p>
        </w:tc>
        <w:tc>
          <w:tcPr>
            <w:tcW w:w="96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Адреса будівлі</w:t>
            </w:r>
          </w:p>
        </w:tc>
        <w:tc>
          <w:tcPr>
            <w:tcW w:w="107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Функціональне призначення</w:t>
            </w:r>
          </w:p>
        </w:tc>
        <w:tc>
          <w:tcPr>
            <w:tcW w:w="90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Рік прийняття в експлуатацію</w:t>
            </w:r>
          </w:p>
        </w:tc>
        <w:tc>
          <w:tcPr>
            <w:tcW w:w="602"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Кіль-кість поверхів</w:t>
            </w:r>
          </w:p>
        </w:tc>
        <w:tc>
          <w:tcPr>
            <w:tcW w:w="1008"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Загальна площа будівлі, м2;</w:t>
            </w:r>
          </w:p>
        </w:tc>
        <w:tc>
          <w:tcPr>
            <w:tcW w:w="953"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Опалю-вальна/охолоджувальна площа будівлі (м2)</w:t>
            </w:r>
          </w:p>
        </w:tc>
        <w:tc>
          <w:tcPr>
            <w:tcW w:w="133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тепло-</w:t>
            </w:r>
          </w:p>
          <w:p>
            <w:pPr>
              <w:pStyle w:val="Style20"/>
              <w:jc w:val="center"/>
              <w:rPr>
                <w:rFonts w:ascii="Times New Roman" w:hAnsi="Times New Roman"/>
                <w:b/>
                <w:bCs/>
                <w:sz w:val="16"/>
                <w:szCs w:val="16"/>
              </w:rPr>
            </w:pPr>
            <w:r>
              <w:rPr>
                <w:rFonts w:ascii="Times New Roman" w:hAnsi="Times New Roman"/>
                <w:b/>
                <w:bCs/>
                <w:sz w:val="16"/>
                <w:szCs w:val="16"/>
              </w:rPr>
              <w:t>постачання</w:t>
            </w:r>
          </w:p>
        </w:tc>
        <w:tc>
          <w:tcPr>
            <w:tcW w:w="1249"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гарячої води</w:t>
            </w:r>
          </w:p>
        </w:tc>
        <w:tc>
          <w:tcPr>
            <w:tcW w:w="1179"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водопос-тачання</w:t>
            </w:r>
          </w:p>
        </w:tc>
        <w:tc>
          <w:tcPr>
            <w:tcW w:w="1235"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джерела постачання газа</w:t>
            </w:r>
          </w:p>
        </w:tc>
        <w:tc>
          <w:tcPr>
            <w:tcW w:w="97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Інформація щодо встанов-леної потужності тепло-генеруючої установки (котлів), кВт</w:t>
            </w:r>
          </w:p>
        </w:tc>
        <w:tc>
          <w:tcPr>
            <w:tcW w:w="984" w:type="dxa"/>
            <w:tcBorders>
              <w:top w:val="single" w:sz="4" w:space="0" w:color="000000"/>
              <w:start w:val="single" w:sz="4" w:space="0" w:color="000000"/>
              <w:bottom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 xml:space="preserve"> </w:t>
            </w:r>
            <w:r>
              <w:rPr>
                <w:rFonts w:ascii="Times New Roman" w:hAnsi="Times New Roman"/>
                <w:b/>
                <w:bCs/>
                <w:sz w:val="16"/>
                <w:szCs w:val="16"/>
              </w:rPr>
              <w:t>Інформація щодо джерела постачання електричної енергії</w:t>
            </w:r>
          </w:p>
        </w:tc>
        <w:tc>
          <w:tcPr>
            <w:tcW w:w="1041" w:type="dxa"/>
            <w:tcBorders>
              <w:top w:val="single" w:sz="4" w:space="0" w:color="000000"/>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16"/>
                <w:szCs w:val="16"/>
              </w:rPr>
            </w:pPr>
            <w:r>
              <w:rPr>
                <w:rFonts w:ascii="Times New Roman" w:hAnsi="Times New Roman"/>
                <w:b/>
                <w:bCs/>
                <w:sz w:val="16"/>
                <w:szCs w:val="16"/>
              </w:rPr>
              <w:t>Розрахункове електричне навантаження кВт (відповідно до договорів)</w:t>
            </w:r>
          </w:p>
        </w:tc>
      </w:tr>
      <w:tr>
        <w:trPr/>
        <w:tc>
          <w:tcPr>
            <w:tcW w:w="14570" w:type="dxa"/>
            <w:gridSpan w:val="14"/>
            <w:tcBorders>
              <w:start w:val="single" w:sz="4" w:space="0" w:color="000000"/>
              <w:bottom w:val="single" w:sz="4" w:space="0" w:color="000000"/>
              <w:end w:val="single" w:sz="4" w:space="0" w:color="000000"/>
            </w:tcBorders>
            <w:shd w:fill="DDDDDD" w:val="clear"/>
          </w:tcPr>
          <w:p>
            <w:pPr>
              <w:pStyle w:val="Style20"/>
              <w:jc w:val="center"/>
              <w:rPr>
                <w:rFonts w:ascii="Times New Roman" w:hAnsi="Times New Roman"/>
                <w:b/>
                <w:bCs/>
                <w:sz w:val="20"/>
                <w:szCs w:val="20"/>
              </w:rPr>
            </w:pPr>
            <w:r>
              <w:rPr>
                <w:rFonts w:ascii="Times New Roman" w:hAnsi="Times New Roman"/>
                <w:b/>
                <w:bCs/>
                <w:sz w:val="20"/>
                <w:szCs w:val="20"/>
              </w:rPr>
              <w:t>МКП «Покровводоканал»</w:t>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Апарат управління</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750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650/100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Комбіноване (Твердопаливний котел+електричне)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Диспетчерської служби та КПП</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Побутове приміщення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125</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125/0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відділу збуту 1</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160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160/0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відділу збуту 2</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Майстерня енергетичної служби</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Майстерня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200/0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ремонтно-будівельної дільниці</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p>
            <w:pPr>
              <w:pStyle w:val="Style20"/>
              <w:rPr>
                <w:rFonts w:ascii="Times New Roman" w:hAnsi="Times New Roman"/>
                <w:sz w:val="20"/>
                <w:szCs w:val="20"/>
              </w:rPr>
            </w:pPr>
            <w:r>
              <w:rPr>
                <w:rFonts w:ascii="Times New Roman" w:hAnsi="Times New Roman"/>
                <w:sz w:val="20"/>
                <w:szCs w:val="20"/>
              </w:rPr>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Майстерня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180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80/100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НС І-го підйому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90/510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Цистерна</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реагентного господарства</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1152</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600/552</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Твердопаливний котел</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блоку фільтрів та відстійників</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3000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500/2500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НС ІІ-го підйому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500</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120/380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складу зберігання хлолру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216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216/0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Відсутнє</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АБК ОСК</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2</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396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792/0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Комбіноване (Твердопаливний котел+електричне)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хіміко-бактеріологічної лабораторії</w:t>
            </w:r>
          </w:p>
          <w:p>
            <w:pPr>
              <w:pStyle w:val="Style20"/>
              <w:rPr>
                <w:rFonts w:ascii="Times New Roman" w:hAnsi="Times New Roman"/>
                <w:sz w:val="20"/>
                <w:szCs w:val="20"/>
              </w:rPr>
            </w:pPr>
            <w:r>
              <w:rPr>
                <w:rFonts w:ascii="Times New Roman" w:hAnsi="Times New Roman"/>
                <w:sz w:val="20"/>
                <w:szCs w:val="20"/>
              </w:rPr>
            </w:r>
          </w:p>
          <w:p>
            <w:pPr>
              <w:pStyle w:val="Style20"/>
              <w:rPr>
                <w:rFonts w:ascii="Times New Roman" w:hAnsi="Times New Roman"/>
                <w:sz w:val="20"/>
                <w:szCs w:val="20"/>
              </w:rPr>
            </w:pPr>
            <w:r>
              <w:rPr>
                <w:rFonts w:ascii="Times New Roman" w:hAnsi="Times New Roman"/>
                <w:sz w:val="20"/>
                <w:szCs w:val="20"/>
              </w:rPr>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Адміністративна будівля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325</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325/0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виробничого корпусу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432</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432/0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Твердопаливний котел</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механічного зневоднення осаду</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381/0</w:t>
            </w:r>
          </w:p>
        </w:tc>
        <w:tc>
          <w:tcPr>
            <w:tcW w:w="133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Твердопаливний котел</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КНС №2</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36/0</w:t>
            </w:r>
          </w:p>
        </w:tc>
        <w:tc>
          <w:tcPr>
            <w:tcW w:w="1334" w:type="dxa"/>
            <w:tcBorders>
              <w:start w:val="single" w:sz="4" w:space="0" w:color="000000"/>
              <w:bottom w:val="single" w:sz="4" w:space="0" w:color="000000"/>
            </w:tcBorders>
          </w:tcPr>
          <w:p>
            <w:pPr>
              <w:pStyle w:val="Style20"/>
              <w:jc w:val="start"/>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Побутове приміщення КНС №2</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Побутове приміщення</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52,48</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52,48/0</w:t>
            </w:r>
          </w:p>
        </w:tc>
        <w:tc>
          <w:tcPr>
            <w:tcW w:w="1334" w:type="dxa"/>
            <w:tcBorders>
              <w:start w:val="single" w:sz="4" w:space="0" w:color="000000"/>
              <w:bottom w:val="single" w:sz="4" w:space="0" w:color="000000"/>
            </w:tcBorders>
          </w:tcPr>
          <w:p>
            <w:pPr>
              <w:pStyle w:val="Style20"/>
              <w:jc w:val="start"/>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r>
        <w:trPr/>
        <w:tc>
          <w:tcPr>
            <w:tcW w:w="1071"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Будівля КНС №4</w:t>
            </w:r>
          </w:p>
        </w:tc>
        <w:tc>
          <w:tcPr>
            <w:tcW w:w="96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м.Покров</w:t>
            </w:r>
          </w:p>
        </w:tc>
        <w:tc>
          <w:tcPr>
            <w:tcW w:w="10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t>Виробничий корпус</w:t>
            </w:r>
          </w:p>
        </w:tc>
        <w:tc>
          <w:tcPr>
            <w:tcW w:w="9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1967</w:t>
            </w:r>
          </w:p>
        </w:tc>
        <w:tc>
          <w:tcPr>
            <w:tcW w:w="602"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1</w:t>
            </w:r>
          </w:p>
        </w:tc>
        <w:tc>
          <w:tcPr>
            <w:tcW w:w="1008"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w:t>
            </w:r>
          </w:p>
        </w:tc>
        <w:tc>
          <w:tcPr>
            <w:tcW w:w="953"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36/0</w:t>
            </w:r>
          </w:p>
        </w:tc>
        <w:tc>
          <w:tcPr>
            <w:tcW w:w="1334" w:type="dxa"/>
            <w:tcBorders>
              <w:start w:val="single" w:sz="4" w:space="0" w:color="000000"/>
              <w:bottom w:val="single" w:sz="4" w:space="0" w:color="000000"/>
            </w:tcBorders>
          </w:tcPr>
          <w:p>
            <w:pPr>
              <w:pStyle w:val="Style20"/>
              <w:jc w:val="start"/>
              <w:rPr>
                <w:rFonts w:ascii="Times New Roman" w:hAnsi="Times New Roman"/>
                <w:sz w:val="20"/>
                <w:szCs w:val="20"/>
              </w:rPr>
            </w:pPr>
            <w:r>
              <w:rPr>
                <w:rFonts w:ascii="Times New Roman" w:hAnsi="Times New Roman"/>
                <w:sz w:val="20"/>
                <w:szCs w:val="20"/>
              </w:rPr>
              <w:t>Електричне</w:t>
            </w:r>
          </w:p>
        </w:tc>
        <w:tc>
          <w:tcPr>
            <w:tcW w:w="124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1179"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Централізоване в/п</w:t>
            </w:r>
          </w:p>
        </w:tc>
        <w:tc>
          <w:tcPr>
            <w:tcW w:w="123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w:t>
            </w:r>
          </w:p>
        </w:tc>
        <w:tc>
          <w:tcPr>
            <w:tcW w:w="974" w:type="dxa"/>
            <w:tcBorders>
              <w:start w:val="single" w:sz="4" w:space="0" w:color="000000"/>
              <w:bottom w:val="single" w:sz="4" w:space="0" w:color="000000"/>
            </w:tcBorders>
          </w:tcPr>
          <w:p>
            <w:pPr>
              <w:pStyle w:val="Style20"/>
              <w:rPr>
                <w:rFonts w:ascii="Times New Roman" w:hAnsi="Times New Roman"/>
                <w:sz w:val="20"/>
                <w:szCs w:val="20"/>
              </w:rPr>
            </w:pPr>
            <w:r>
              <w:rPr>
                <w:rFonts w:ascii="Times New Roman" w:hAnsi="Times New Roman"/>
                <w:sz w:val="20"/>
                <w:szCs w:val="20"/>
              </w:rPr>
            </w:r>
          </w:p>
        </w:tc>
        <w:tc>
          <w:tcPr>
            <w:tcW w:w="984"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t>наявне</w:t>
            </w:r>
          </w:p>
        </w:tc>
        <w:tc>
          <w:tcPr>
            <w:tcW w:w="1041" w:type="dxa"/>
            <w:tcBorders>
              <w:start w:val="single" w:sz="4" w:space="0" w:color="000000"/>
              <w:bottom w:val="single" w:sz="4" w:space="0" w:color="000000"/>
              <w:end w:val="single" w:sz="4" w:space="0" w:color="000000"/>
            </w:tcBorders>
          </w:tcPr>
          <w:p>
            <w:pPr>
              <w:pStyle w:val="Style20"/>
              <w:rPr>
                <w:rFonts w:ascii="Times New Roman" w:hAnsi="Times New Roman"/>
                <w:sz w:val="20"/>
                <w:szCs w:val="20"/>
              </w:rPr>
            </w:pPr>
            <w:r>
              <w:rPr>
                <w:rFonts w:ascii="Times New Roman" w:hAnsi="Times New Roman"/>
                <w:sz w:val="20"/>
                <w:szCs w:val="20"/>
              </w:rPr>
            </w:r>
          </w:p>
        </w:tc>
      </w:tr>
    </w:tbl>
    <w:p>
      <w:pPr>
        <w:pStyle w:val="Normal"/>
        <w:spacing w:lineRule="auto" w:line="254"/>
        <w:jc w:val="en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pP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xml:space="preserve">Вихідні дані </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ТДВ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Дніпрокомунтранс</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w:t>
      </w:r>
      <w:r>
        <w:rPr>
          <w:rFonts w:eastAsia="Century Gothic" w:cs="Century Gothic" w:ascii="Times New Roman" w:hAnsi="Times New Roman"/>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Standard"/>
        <w:spacing w:before="160" w:after="0"/>
        <w:jc w:val="end"/>
        <w:rPr>
          <w:rFonts w:ascii="Times New Roman" w:hAnsi="Times New Roman"/>
          <w:sz w:val="22"/>
          <w:szCs w:val="22"/>
        </w:rPr>
      </w:pPr>
      <w:r>
        <w:rPr>
          <w:rFonts w:ascii="Times New Roman" w:hAnsi="Times New Roman"/>
          <w:sz w:val="22"/>
          <w:szCs w:val="22"/>
        </w:rPr>
        <w:t>Таблиця 1</w:t>
      </w:r>
    </w:p>
    <w:p>
      <w:pPr>
        <w:pStyle w:val="Standard"/>
        <w:jc w:val="center"/>
        <w:rPr>
          <w:sz w:val="20"/>
          <w:szCs w:val="20"/>
        </w:rPr>
      </w:pPr>
      <w:r>
        <w:rPr>
          <w:rFonts w:ascii="Times New Roman" w:hAnsi="Times New Roman"/>
          <w:sz w:val="20"/>
          <w:szCs w:val="20"/>
        </w:rPr>
        <w:t>Вага утворених побтових відходів, тон</w:t>
      </w:r>
    </w:p>
    <w:p>
      <w:pPr>
        <w:pStyle w:val="Standard"/>
        <w:jc w:val="center"/>
        <w:rPr>
          <w:sz w:val="20"/>
          <w:szCs w:val="20"/>
        </w:rPr>
      </w:pPr>
      <w:r>
        <w:rPr/>
      </w:r>
    </w:p>
    <w:tbl>
      <w:tblPr>
        <w:tblW w:w="10620" w:type="dxa"/>
        <w:jc w:val="center"/>
        <w:tblInd w:w="0" w:type="dxa"/>
        <w:tblLayout w:type="fixed"/>
        <w:tblCellMar>
          <w:top w:w="55" w:type="dxa"/>
          <w:start w:w="55" w:type="dxa"/>
          <w:bottom w:w="55" w:type="dxa"/>
          <w:end w:w="55" w:type="dxa"/>
        </w:tblCellMar>
      </w:tblPr>
      <w:tblGrid>
        <w:gridCol w:w="389"/>
        <w:gridCol w:w="2040"/>
        <w:gridCol w:w="1306"/>
        <w:gridCol w:w="1364"/>
        <w:gridCol w:w="735"/>
        <w:gridCol w:w="796"/>
        <w:gridCol w:w="749"/>
        <w:gridCol w:w="765"/>
        <w:gridCol w:w="840"/>
        <w:gridCol w:w="795"/>
        <w:gridCol w:w="841"/>
      </w:tblGrid>
      <w:tr>
        <w:trPr>
          <w:trHeight w:val="27" w:hRule="atLeast"/>
        </w:trPr>
        <w:tc>
          <w:tcPr>
            <w:tcW w:w="389"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w:t>
            </w:r>
          </w:p>
        </w:tc>
        <w:tc>
          <w:tcPr>
            <w:tcW w:w="2040"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Показник</w:t>
            </w:r>
          </w:p>
        </w:tc>
        <w:tc>
          <w:tcPr>
            <w:tcW w:w="2670" w:type="dxa"/>
            <w:gridSpan w:val="2"/>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2017</w:t>
            </w:r>
          </w:p>
        </w:tc>
        <w:tc>
          <w:tcPr>
            <w:tcW w:w="735" w:type="dxa"/>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2018</w:t>
            </w:r>
          </w:p>
        </w:tc>
        <w:tc>
          <w:tcPr>
            <w:tcW w:w="796" w:type="dxa"/>
            <w:tcBorders>
              <w:top w:val="single" w:sz="4" w:space="0" w:color="000000"/>
              <w:start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2019</w:t>
            </w:r>
          </w:p>
        </w:tc>
        <w:tc>
          <w:tcPr>
            <w:tcW w:w="749" w:type="dxa"/>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2020</w:t>
            </w:r>
          </w:p>
        </w:tc>
        <w:tc>
          <w:tcPr>
            <w:tcW w:w="765" w:type="dxa"/>
            <w:tcBorders>
              <w:top w:val="single" w:sz="4" w:space="0" w:color="000000"/>
              <w:start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bCs/>
                <w:sz w:val="18"/>
                <w:szCs w:val="18"/>
                <w:lang w:val="en-US"/>
              </w:rPr>
              <w:t>2021</w:t>
            </w:r>
          </w:p>
        </w:tc>
        <w:tc>
          <w:tcPr>
            <w:tcW w:w="840"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2022</w:t>
            </w:r>
          </w:p>
        </w:tc>
        <w:tc>
          <w:tcPr>
            <w:tcW w:w="795" w:type="dxa"/>
            <w:tcBorders>
              <w:top w:val="single" w:sz="4" w:space="0" w:color="000000"/>
              <w:start w:val="single" w:sz="4" w:space="0" w:color="000000"/>
            </w:tcBorders>
          </w:tcPr>
          <w:p>
            <w:pPr>
              <w:pStyle w:val="Style20"/>
              <w:jc w:val="center"/>
              <w:rPr>
                <w:sz w:val="18"/>
                <w:szCs w:val="18"/>
              </w:rPr>
            </w:pPr>
            <w:r>
              <w:rPr>
                <w:rFonts w:ascii="Times New Roman" w:hAnsi="Times New Roman"/>
                <w:b/>
                <w:bCs/>
                <w:sz w:val="18"/>
                <w:szCs w:val="18"/>
              </w:rPr>
              <w:t>2023</w:t>
            </w:r>
          </w:p>
        </w:tc>
        <w:tc>
          <w:tcPr>
            <w:tcW w:w="841" w:type="dxa"/>
            <w:tcBorders>
              <w:top w:val="single" w:sz="4" w:space="0" w:color="000000"/>
              <w:start w:val="single" w:sz="4" w:space="0" w:color="000000"/>
              <w:end w:val="single" w:sz="4" w:space="0" w:color="000000"/>
            </w:tcBorders>
          </w:tcPr>
          <w:p>
            <w:pPr>
              <w:pStyle w:val="Style20"/>
              <w:jc w:val="center"/>
              <w:rPr>
                <w:sz w:val="18"/>
                <w:szCs w:val="18"/>
              </w:rPr>
            </w:pPr>
            <w:r>
              <w:rPr>
                <w:rFonts w:ascii="Times New Roman" w:hAnsi="Times New Roman"/>
                <w:b/>
                <w:bCs/>
                <w:sz w:val="18"/>
                <w:szCs w:val="18"/>
              </w:rPr>
              <w:t>2024</w:t>
            </w:r>
          </w:p>
        </w:tc>
      </w:tr>
      <w:tr>
        <w:trPr>
          <w:trHeight w:val="258" w:hRule="atLeast"/>
        </w:trPr>
        <w:tc>
          <w:tcPr>
            <w:tcW w:w="389"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sz w:val="18"/>
                <w:szCs w:val="18"/>
              </w:rPr>
              <w:t>1</w:t>
            </w:r>
          </w:p>
        </w:tc>
        <w:tc>
          <w:tcPr>
            <w:tcW w:w="20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sz w:val="18"/>
                <w:szCs w:val="18"/>
              </w:rPr>
              <w:t xml:space="preserve">Вага </w:t>
            </w:r>
            <w:r>
              <w:rPr>
                <w:rFonts w:ascii="Times New Roman" w:hAnsi="Times New Roman"/>
                <w:sz w:val="18"/>
                <w:szCs w:val="18"/>
                <w:u w:val="single"/>
                <w:lang w:val="ru-RU"/>
              </w:rPr>
              <w:t>перевезених</w:t>
            </w:r>
            <w:r>
              <w:rPr>
                <w:rFonts w:ascii="Times New Roman" w:hAnsi="Times New Roman"/>
                <w:sz w:val="18"/>
                <w:szCs w:val="18"/>
              </w:rPr>
              <w:t xml:space="preserve"> побутових відходів</w:t>
            </w:r>
            <w:r>
              <w:rPr>
                <w:rFonts w:ascii="Times New Roman" w:hAnsi="Times New Roman"/>
                <w:sz w:val="18"/>
                <w:szCs w:val="18"/>
                <w:lang w:val="ru-RU"/>
              </w:rPr>
              <w:t>:</w:t>
            </w:r>
          </w:p>
        </w:tc>
        <w:tc>
          <w:tcPr>
            <w:tcW w:w="130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b/>
                <w:sz w:val="18"/>
                <w:szCs w:val="18"/>
                <w:lang w:val="ru-RU"/>
              </w:rPr>
            </w:pPr>
            <w:r>
              <w:rPr>
                <w:rFonts w:ascii="Times New Roman" w:hAnsi="Times New Roman"/>
                <w:b/>
                <w:sz w:val="18"/>
                <w:szCs w:val="18"/>
                <w:lang w:val="ru-RU"/>
              </w:rPr>
            </w:r>
          </w:p>
          <w:p>
            <w:pPr>
              <w:pStyle w:val="Style20"/>
              <w:jc w:val="center"/>
              <w:rPr>
                <w:sz w:val="18"/>
                <w:szCs w:val="18"/>
              </w:rPr>
            </w:pPr>
            <w:r>
              <w:rPr>
                <w:rFonts w:ascii="Times New Roman" w:hAnsi="Times New Roman"/>
                <w:b/>
                <w:sz w:val="18"/>
                <w:szCs w:val="18"/>
                <w:lang w:val="ru-RU"/>
              </w:rPr>
              <w:t>28843,27</w:t>
            </w:r>
          </w:p>
          <w:p>
            <w:pPr>
              <w:pStyle w:val="Style20"/>
              <w:jc w:val="center"/>
              <w:rPr>
                <w:sz w:val="18"/>
                <w:szCs w:val="18"/>
              </w:rPr>
            </w:pPr>
            <w:r>
              <w:rPr>
                <w:rFonts w:ascii="Times New Roman" w:hAnsi="Times New Roman"/>
                <w:b/>
                <w:sz w:val="18"/>
                <w:szCs w:val="18"/>
                <w:lang w:val="ru-RU"/>
              </w:rPr>
              <w:t>(Саночистка)</w:t>
            </w:r>
          </w:p>
        </w:tc>
        <w:tc>
          <w:tcPr>
            <w:tcW w:w="136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lang w:val="ru-RU"/>
              </w:rPr>
              <w:t>28272,81</w:t>
            </w:r>
          </w:p>
          <w:p>
            <w:pPr>
              <w:pStyle w:val="Style20"/>
              <w:jc w:val="center"/>
              <w:rPr>
                <w:sz w:val="18"/>
                <w:szCs w:val="18"/>
              </w:rPr>
            </w:pPr>
            <w:r>
              <w:rPr>
                <w:rFonts w:ascii="Times New Roman" w:hAnsi="Times New Roman"/>
                <w:b/>
                <w:sz w:val="18"/>
                <w:szCs w:val="18"/>
                <w:lang w:val="ru-RU"/>
              </w:rPr>
              <w:t>(ДКТ з серпня)</w:t>
            </w:r>
          </w:p>
        </w:tc>
        <w:tc>
          <w:tcPr>
            <w:tcW w:w="73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lang w:val="ru-RU"/>
              </w:rPr>
              <w:t>59402,17</w:t>
            </w:r>
          </w:p>
        </w:tc>
        <w:tc>
          <w:tcPr>
            <w:tcW w:w="79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lang w:val="ru-RU"/>
              </w:rPr>
              <w:t>76827,07</w:t>
            </w:r>
          </w:p>
        </w:tc>
        <w:tc>
          <w:tcPr>
            <w:tcW w:w="749"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rPr>
              <w:t>89212,67</w:t>
            </w:r>
          </w:p>
        </w:tc>
        <w:tc>
          <w:tcPr>
            <w:tcW w:w="76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b/>
                <w:sz w:val="18"/>
                <w:szCs w:val="18"/>
              </w:rPr>
              <w:t>92574,99</w:t>
            </w:r>
          </w:p>
        </w:tc>
        <w:tc>
          <w:tcPr>
            <w:tcW w:w="8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b/>
                <w:sz w:val="18"/>
                <w:szCs w:val="18"/>
              </w:rPr>
              <w:t>90293,75</w:t>
            </w:r>
          </w:p>
        </w:tc>
        <w:tc>
          <w:tcPr>
            <w:tcW w:w="795"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b/>
                <w:sz w:val="18"/>
                <w:szCs w:val="18"/>
              </w:rPr>
              <w:t>87834,46</w:t>
            </w:r>
          </w:p>
        </w:tc>
        <w:tc>
          <w:tcPr>
            <w:tcW w:w="841" w:type="dxa"/>
            <w:tcBorders>
              <w:top w:val="single" w:sz="4" w:space="0" w:color="000000"/>
              <w:start w:val="single" w:sz="4" w:space="0" w:color="000000"/>
              <w:bottom w:val="single" w:sz="4" w:space="0" w:color="000000"/>
              <w:end w:val="single" w:sz="4" w:space="0" w:color="000000"/>
            </w:tcBorders>
          </w:tcPr>
          <w:p>
            <w:pPr>
              <w:pStyle w:val="Style20"/>
              <w:jc w:val="center"/>
              <w:rPr>
                <w:sz w:val="18"/>
                <w:szCs w:val="18"/>
              </w:rPr>
            </w:pPr>
            <w:r>
              <w:rPr>
                <w:rFonts w:ascii="Times New Roman" w:hAnsi="Times New Roman"/>
                <w:b/>
                <w:sz w:val="18"/>
                <w:szCs w:val="18"/>
              </w:rPr>
              <w:t>89152,46</w:t>
            </w:r>
          </w:p>
        </w:tc>
      </w:tr>
      <w:tr>
        <w:trPr>
          <w:trHeight w:val="340" w:hRule="atLeast"/>
        </w:trPr>
        <w:tc>
          <w:tcPr>
            <w:tcW w:w="389" w:type="dxa"/>
            <w:tcBorders>
              <w:top w:val="single" w:sz="4" w:space="0" w:color="000000"/>
              <w:start w:val="single" w:sz="4" w:space="0" w:color="000000"/>
              <w:bottom w:val="single" w:sz="4" w:space="0" w:color="000000"/>
            </w:tcBorders>
          </w:tcPr>
          <w:p>
            <w:pPr>
              <w:pStyle w:val="Style20"/>
              <w:jc w:val="center"/>
              <w:rPr>
                <w:rFonts w:ascii="Times New Roman" w:hAnsi="Times New Roman"/>
                <w:sz w:val="18"/>
                <w:szCs w:val="18"/>
              </w:rPr>
            </w:pPr>
            <w:r>
              <w:rPr>
                <w:rFonts w:ascii="Times New Roman" w:hAnsi="Times New Roman"/>
                <w:sz w:val="18"/>
                <w:szCs w:val="18"/>
              </w:rPr>
            </w:r>
          </w:p>
        </w:tc>
        <w:tc>
          <w:tcPr>
            <w:tcW w:w="2040" w:type="dxa"/>
            <w:tcBorders>
              <w:top w:val="single" w:sz="4" w:space="0" w:color="000000"/>
              <w:start w:val="single" w:sz="4" w:space="0" w:color="000000"/>
              <w:bottom w:val="single" w:sz="4" w:space="0" w:color="000000"/>
            </w:tcBorders>
          </w:tcPr>
          <w:p>
            <w:pPr>
              <w:pStyle w:val="Style20"/>
              <w:rPr>
                <w:sz w:val="18"/>
                <w:szCs w:val="18"/>
              </w:rPr>
            </w:pPr>
            <w:r>
              <w:rPr>
                <w:rFonts w:ascii="Times New Roman" w:hAnsi="Times New Roman"/>
                <w:i/>
                <w:sz w:val="18"/>
                <w:szCs w:val="18"/>
                <w:lang w:val="ru-RU"/>
              </w:rPr>
              <w:t>1. Зм</w:t>
            </w:r>
            <w:r>
              <w:rPr>
                <w:rFonts w:ascii="Times New Roman" w:hAnsi="Times New Roman"/>
                <w:i/>
                <w:sz w:val="18"/>
                <w:szCs w:val="18"/>
              </w:rPr>
              <w:t>ішані ТПВ,</w:t>
            </w:r>
          </w:p>
        </w:tc>
        <w:tc>
          <w:tcPr>
            <w:tcW w:w="130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18"/>
                <w:szCs w:val="18"/>
                <w:lang w:val="ru-RU"/>
              </w:rPr>
            </w:pPr>
            <w:r>
              <w:rPr>
                <w:rFonts w:ascii="Times New Roman" w:hAnsi="Times New Roman"/>
                <w:sz w:val="18"/>
                <w:szCs w:val="18"/>
                <w:lang w:val="ru-RU"/>
              </w:rPr>
            </w:r>
          </w:p>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136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25948,13</w:t>
            </w:r>
          </w:p>
          <w:p>
            <w:pPr>
              <w:pStyle w:val="Style20"/>
              <w:jc w:val="center"/>
              <w:rPr>
                <w:sz w:val="18"/>
                <w:szCs w:val="18"/>
              </w:rPr>
            </w:pPr>
            <w:r>
              <w:rPr>
                <w:rFonts w:ascii="Times New Roman" w:hAnsi="Times New Roman"/>
                <w:sz w:val="18"/>
                <w:szCs w:val="18"/>
                <w:lang w:val="ru-RU"/>
              </w:rPr>
              <w:t>(ДКТ )</w:t>
            </w:r>
          </w:p>
        </w:tc>
        <w:tc>
          <w:tcPr>
            <w:tcW w:w="73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54449,05</w:t>
            </w:r>
          </w:p>
        </w:tc>
        <w:tc>
          <w:tcPr>
            <w:tcW w:w="79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72240,80</w:t>
            </w:r>
          </w:p>
        </w:tc>
        <w:tc>
          <w:tcPr>
            <w:tcW w:w="749"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84627,44</w:t>
            </w:r>
          </w:p>
        </w:tc>
        <w:tc>
          <w:tcPr>
            <w:tcW w:w="76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85425,51</w:t>
            </w:r>
          </w:p>
        </w:tc>
        <w:tc>
          <w:tcPr>
            <w:tcW w:w="8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86737,47</w:t>
            </w:r>
          </w:p>
        </w:tc>
        <w:tc>
          <w:tcPr>
            <w:tcW w:w="795"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87834,46</w:t>
            </w:r>
          </w:p>
        </w:tc>
        <w:tc>
          <w:tcPr>
            <w:tcW w:w="841" w:type="dxa"/>
            <w:tcBorders>
              <w:top w:val="single" w:sz="4" w:space="0" w:color="000000"/>
              <w:start w:val="single" w:sz="4" w:space="0" w:color="000000"/>
              <w:bottom w:val="single" w:sz="4" w:space="0" w:color="000000"/>
              <w:end w:val="single" w:sz="4" w:space="0" w:color="000000"/>
            </w:tcBorders>
          </w:tcPr>
          <w:p>
            <w:pPr>
              <w:pStyle w:val="Style20"/>
              <w:jc w:val="center"/>
              <w:rPr>
                <w:sz w:val="18"/>
                <w:szCs w:val="18"/>
              </w:rPr>
            </w:pPr>
            <w:r>
              <w:rPr>
                <w:rFonts w:ascii="Times New Roman" w:hAnsi="Times New Roman"/>
                <w:i/>
                <w:sz w:val="18"/>
                <w:szCs w:val="18"/>
              </w:rPr>
              <w:t>89152,46</w:t>
            </w:r>
          </w:p>
        </w:tc>
      </w:tr>
      <w:tr>
        <w:trPr>
          <w:trHeight w:val="367" w:hRule="atLeast"/>
        </w:trPr>
        <w:tc>
          <w:tcPr>
            <w:tcW w:w="389" w:type="dxa"/>
            <w:tcBorders>
              <w:top w:val="single" w:sz="4" w:space="0" w:color="000000"/>
              <w:start w:val="single" w:sz="4" w:space="0" w:color="000000"/>
              <w:bottom w:val="single" w:sz="4" w:space="0" w:color="000000"/>
            </w:tcBorders>
          </w:tcPr>
          <w:p>
            <w:pPr>
              <w:pStyle w:val="Style20"/>
              <w:jc w:val="center"/>
              <w:rPr>
                <w:rFonts w:ascii="Times New Roman" w:hAnsi="Times New Roman"/>
                <w:sz w:val="18"/>
                <w:szCs w:val="18"/>
              </w:rPr>
            </w:pPr>
            <w:r>
              <w:rPr>
                <w:rFonts w:ascii="Times New Roman" w:hAnsi="Times New Roman"/>
                <w:sz w:val="18"/>
                <w:szCs w:val="18"/>
              </w:rPr>
            </w:r>
          </w:p>
        </w:tc>
        <w:tc>
          <w:tcPr>
            <w:tcW w:w="2040" w:type="dxa"/>
            <w:tcBorders>
              <w:top w:val="single" w:sz="4" w:space="0" w:color="000000"/>
              <w:start w:val="single" w:sz="4" w:space="0" w:color="000000"/>
              <w:bottom w:val="single" w:sz="4" w:space="0" w:color="000000"/>
            </w:tcBorders>
          </w:tcPr>
          <w:p>
            <w:pPr>
              <w:pStyle w:val="Style20"/>
              <w:rPr>
                <w:sz w:val="18"/>
                <w:szCs w:val="18"/>
              </w:rPr>
            </w:pPr>
            <w:r>
              <w:rPr>
                <w:rFonts w:ascii="Times New Roman" w:hAnsi="Times New Roman"/>
                <w:i/>
                <w:sz w:val="18"/>
                <w:szCs w:val="18"/>
              </w:rPr>
              <w:t>2. Великогабаритні ТПВ</w:t>
            </w:r>
          </w:p>
        </w:tc>
        <w:tc>
          <w:tcPr>
            <w:tcW w:w="130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18"/>
                <w:szCs w:val="18"/>
                <w:lang w:val="ru-RU"/>
              </w:rPr>
            </w:pPr>
            <w:r>
              <w:rPr>
                <w:rFonts w:ascii="Times New Roman" w:hAnsi="Times New Roman"/>
                <w:sz w:val="18"/>
                <w:szCs w:val="18"/>
                <w:lang w:val="ru-RU"/>
              </w:rPr>
            </w:r>
          </w:p>
        </w:tc>
        <w:tc>
          <w:tcPr>
            <w:tcW w:w="136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2324,68</w:t>
            </w:r>
          </w:p>
          <w:p>
            <w:pPr>
              <w:pStyle w:val="Style20"/>
              <w:jc w:val="center"/>
              <w:rPr>
                <w:sz w:val="18"/>
                <w:szCs w:val="18"/>
              </w:rPr>
            </w:pPr>
            <w:r>
              <w:rPr>
                <w:rFonts w:ascii="Times New Roman" w:hAnsi="Times New Roman"/>
                <w:sz w:val="18"/>
                <w:szCs w:val="18"/>
                <w:lang w:val="ru-RU"/>
              </w:rPr>
              <w:t>(ДКТ)</w:t>
            </w:r>
          </w:p>
        </w:tc>
        <w:tc>
          <w:tcPr>
            <w:tcW w:w="73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4953,12</w:t>
            </w:r>
          </w:p>
        </w:tc>
        <w:tc>
          <w:tcPr>
            <w:tcW w:w="79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sz w:val="18"/>
                <w:szCs w:val="18"/>
                <w:lang w:val="ru-RU"/>
              </w:rPr>
              <w:t>4586,27</w:t>
            </w:r>
          </w:p>
        </w:tc>
        <w:tc>
          <w:tcPr>
            <w:tcW w:w="749"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4585,23</w:t>
            </w:r>
          </w:p>
        </w:tc>
        <w:tc>
          <w:tcPr>
            <w:tcW w:w="76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sz w:val="18"/>
                <w:szCs w:val="18"/>
              </w:rPr>
            </w:pPr>
            <w:r>
              <w:rPr>
                <w:rFonts w:ascii="Times New Roman" w:hAnsi="Times New Roman"/>
                <w:i/>
                <w:sz w:val="18"/>
                <w:szCs w:val="18"/>
              </w:rPr>
              <w:t>7149,48</w:t>
            </w:r>
          </w:p>
        </w:tc>
        <w:tc>
          <w:tcPr>
            <w:tcW w:w="840"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3556,28</w:t>
            </w:r>
          </w:p>
        </w:tc>
        <w:tc>
          <w:tcPr>
            <w:tcW w:w="795" w:type="dxa"/>
            <w:tcBorders>
              <w:top w:val="single" w:sz="4" w:space="0" w:color="000000"/>
              <w:start w:val="single" w:sz="4" w:space="0" w:color="000000"/>
              <w:bottom w:val="single" w:sz="4" w:space="0" w:color="000000"/>
            </w:tcBorders>
          </w:tcPr>
          <w:p>
            <w:pPr>
              <w:pStyle w:val="Style20"/>
              <w:jc w:val="center"/>
              <w:rPr>
                <w:sz w:val="18"/>
                <w:szCs w:val="18"/>
              </w:rPr>
            </w:pPr>
            <w:r>
              <w:rPr>
                <w:rFonts w:ascii="Times New Roman" w:hAnsi="Times New Roman"/>
                <w:i/>
                <w:sz w:val="18"/>
                <w:szCs w:val="18"/>
              </w:rPr>
              <w:t>-</w:t>
            </w:r>
          </w:p>
        </w:tc>
        <w:tc>
          <w:tcPr>
            <w:tcW w:w="841" w:type="dxa"/>
            <w:tcBorders>
              <w:top w:val="single" w:sz="4" w:space="0" w:color="000000"/>
              <w:start w:val="single" w:sz="4" w:space="0" w:color="000000"/>
              <w:bottom w:val="single" w:sz="4" w:space="0" w:color="000000"/>
              <w:end w:val="single" w:sz="4" w:space="0" w:color="000000"/>
            </w:tcBorders>
          </w:tcPr>
          <w:p>
            <w:pPr>
              <w:pStyle w:val="Style20"/>
              <w:jc w:val="center"/>
              <w:rPr>
                <w:sz w:val="18"/>
                <w:szCs w:val="18"/>
              </w:rPr>
            </w:pPr>
            <w:r>
              <w:rPr>
                <w:rFonts w:ascii="Times New Roman" w:hAnsi="Times New Roman"/>
                <w:i/>
                <w:sz w:val="18"/>
                <w:szCs w:val="18"/>
              </w:rPr>
              <w:t>-</w:t>
            </w:r>
          </w:p>
        </w:tc>
      </w:tr>
    </w:tbl>
    <w:p>
      <w:pPr>
        <w:pStyle w:val="Default"/>
        <w:jc w:val="end"/>
        <w:rPr>
          <w:rFonts w:cs="Century Gothic"/>
          <w:color w:val="auto"/>
        </w:rPr>
      </w:pPr>
      <w:r>
        <w:rPr/>
      </w:r>
    </w:p>
    <w:p>
      <w:pPr>
        <w:pStyle w:val="Default"/>
        <w:jc w:val="end"/>
        <w:rPr>
          <w:rFonts w:cs="Century Gothic"/>
          <w:color w:val="auto"/>
        </w:rPr>
      </w:pPr>
      <w:r>
        <w:rPr>
          <w:rFonts w:cs="Century Gothic"/>
          <w:color w:val="auto"/>
        </w:rPr>
        <w:t>Таблиця 2</w:t>
      </w:r>
    </w:p>
    <w:p>
      <w:pPr>
        <w:pStyle w:val="Default"/>
        <w:jc w:val="center"/>
        <w:rPr/>
      </w:pPr>
      <w:r>
        <w:rPr>
          <w:rFonts w:cs="Century Gothic"/>
          <w:color w:val="auto"/>
        </w:rPr>
        <w:t>Р</w:t>
      </w:r>
      <w:r>
        <w:rPr>
          <w:rFonts w:cs="Century Gothic"/>
          <w:color w:val="auto"/>
          <w:sz w:val="22"/>
          <w:szCs w:val="22"/>
        </w:rPr>
        <w:t>ічне споживання палива транспортом у секторі управління відходами</w:t>
      </w:r>
    </w:p>
    <w:tbl>
      <w:tblPr>
        <w:tblW w:w="10665" w:type="dxa"/>
        <w:jc w:val="start"/>
        <w:tblInd w:w="1966" w:type="dxa"/>
        <w:tblLayout w:type="fixed"/>
        <w:tblCellMar>
          <w:top w:w="55" w:type="dxa"/>
          <w:start w:w="55" w:type="dxa"/>
          <w:bottom w:w="55" w:type="dxa"/>
          <w:end w:w="55" w:type="dxa"/>
        </w:tblCellMar>
      </w:tblPr>
      <w:tblGrid>
        <w:gridCol w:w="1305"/>
        <w:gridCol w:w="1035"/>
        <w:gridCol w:w="900"/>
        <w:gridCol w:w="1080"/>
        <w:gridCol w:w="1095"/>
        <w:gridCol w:w="1125"/>
        <w:gridCol w:w="1080"/>
        <w:gridCol w:w="780"/>
        <w:gridCol w:w="915"/>
        <w:gridCol w:w="1350"/>
      </w:tblGrid>
      <w:tr>
        <w:trPr>
          <w:trHeight w:val="27" w:hRule="atLeast"/>
        </w:trPr>
        <w:tc>
          <w:tcPr>
            <w:tcW w:w="1305"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Вид палива</w:t>
            </w:r>
          </w:p>
        </w:tc>
        <w:tc>
          <w:tcPr>
            <w:tcW w:w="1035"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Од. вим.</w:t>
            </w:r>
          </w:p>
        </w:tc>
        <w:tc>
          <w:tcPr>
            <w:tcW w:w="900"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2017</w:t>
            </w:r>
          </w:p>
        </w:tc>
        <w:tc>
          <w:tcPr>
            <w:tcW w:w="1080"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2018</w:t>
            </w:r>
          </w:p>
        </w:tc>
        <w:tc>
          <w:tcPr>
            <w:tcW w:w="1095" w:type="dxa"/>
            <w:tcBorders>
              <w:top w:val="single" w:sz="4" w:space="0" w:color="000000"/>
              <w:start w:val="single" w:sz="4" w:space="0" w:color="000000"/>
              <w:end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2019</w:t>
            </w:r>
          </w:p>
        </w:tc>
        <w:tc>
          <w:tcPr>
            <w:tcW w:w="1125"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2020</w:t>
            </w:r>
          </w:p>
        </w:tc>
        <w:tc>
          <w:tcPr>
            <w:tcW w:w="1080" w:type="dxa"/>
            <w:tcBorders>
              <w:top w:val="single" w:sz="4" w:space="0" w:color="000000"/>
              <w:start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b/>
                <w:bCs/>
                <w:sz w:val="20"/>
                <w:szCs w:val="20"/>
                <w:lang w:val="en-US"/>
              </w:rPr>
              <w:t>2021</w:t>
            </w:r>
          </w:p>
        </w:tc>
        <w:tc>
          <w:tcPr>
            <w:tcW w:w="780"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2022</w:t>
            </w:r>
          </w:p>
        </w:tc>
        <w:tc>
          <w:tcPr>
            <w:tcW w:w="915" w:type="dxa"/>
            <w:tcBorders>
              <w:top w:val="single" w:sz="4" w:space="0" w:color="000000"/>
              <w:start w:val="single" w:sz="4" w:space="0" w:color="000000"/>
            </w:tcBorders>
          </w:tcPr>
          <w:p>
            <w:pPr>
              <w:pStyle w:val="Style20"/>
              <w:jc w:val="center"/>
              <w:rPr>
                <w:sz w:val="20"/>
                <w:szCs w:val="20"/>
              </w:rPr>
            </w:pPr>
            <w:r>
              <w:rPr>
                <w:rFonts w:ascii="Times New Roman" w:hAnsi="Times New Roman"/>
                <w:b/>
                <w:bCs/>
                <w:sz w:val="20"/>
                <w:szCs w:val="20"/>
              </w:rPr>
              <w:t>2023</w:t>
            </w:r>
          </w:p>
        </w:tc>
        <w:tc>
          <w:tcPr>
            <w:tcW w:w="1350" w:type="dxa"/>
            <w:tcBorders>
              <w:top w:val="single" w:sz="4" w:space="0" w:color="000000"/>
              <w:start w:val="single" w:sz="4" w:space="0" w:color="000000"/>
              <w:end w:val="single" w:sz="4" w:space="0" w:color="000000"/>
            </w:tcBorders>
          </w:tcPr>
          <w:p>
            <w:pPr>
              <w:pStyle w:val="Style20"/>
              <w:jc w:val="center"/>
              <w:rPr>
                <w:sz w:val="20"/>
                <w:szCs w:val="20"/>
              </w:rPr>
            </w:pPr>
            <w:r>
              <w:rPr>
                <w:rFonts w:ascii="Times New Roman" w:hAnsi="Times New Roman"/>
                <w:b/>
                <w:bCs/>
                <w:sz w:val="20"/>
                <w:szCs w:val="20"/>
              </w:rPr>
              <w:t>2024</w:t>
            </w:r>
          </w:p>
        </w:tc>
      </w:tr>
      <w:tr>
        <w:trPr>
          <w:trHeight w:val="27" w:hRule="atLeast"/>
        </w:trPr>
        <w:tc>
          <w:tcPr>
            <w:tcW w:w="1305" w:type="dxa"/>
            <w:tcBorders>
              <w:top w:val="single" w:sz="4" w:space="0" w:color="000000"/>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Бензин</w:t>
            </w:r>
          </w:p>
        </w:tc>
        <w:tc>
          <w:tcPr>
            <w:tcW w:w="1035" w:type="dxa"/>
            <w:tcBorders>
              <w:top w:val="single" w:sz="4" w:space="0" w:color="000000"/>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9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125"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780"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15" w:type="dxa"/>
            <w:tcBorders>
              <w:top w:val="single" w:sz="4" w:space="0" w:color="000000"/>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350"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Дизель</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31,28</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76,21</w:t>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80,48</w:t>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75,72</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sz w:val="20"/>
                <w:szCs w:val="20"/>
              </w:rPr>
              <w:t>72,27</w:t>
            </w:r>
          </w:p>
        </w:tc>
        <w:tc>
          <w:tcPr>
            <w:tcW w:w="780"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65,67</w:t>
            </w:r>
          </w:p>
        </w:tc>
        <w:tc>
          <w:tcPr>
            <w:tcW w:w="91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56,20</w:t>
            </w:r>
          </w:p>
        </w:tc>
        <w:tc>
          <w:tcPr>
            <w:tcW w:w="1350" w:type="dxa"/>
            <w:tcBorders>
              <w:start w:val="single" w:sz="4" w:space="0" w:color="000000"/>
              <w:bottom w:val="single" w:sz="4" w:space="0" w:color="000000"/>
              <w:end w:val="single" w:sz="4" w:space="0" w:color="000000"/>
            </w:tcBorders>
          </w:tcPr>
          <w:p>
            <w:pPr>
              <w:pStyle w:val="Style20"/>
              <w:jc w:val="center"/>
              <w:rPr>
                <w:sz w:val="20"/>
                <w:szCs w:val="20"/>
              </w:rPr>
            </w:pPr>
            <w:r>
              <w:rPr>
                <w:rFonts w:ascii="Times New Roman" w:hAnsi="Times New Roman"/>
                <w:sz w:val="20"/>
                <w:szCs w:val="20"/>
              </w:rPr>
              <w:t>49,78</w:t>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Скраплений газ</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7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Стиснений газ (метан)</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тис. л</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0"/>
                <w:szCs w:val="20"/>
              </w:rPr>
            </w:pPr>
            <w:r>
              <w:rPr>
                <w:rFonts w:ascii="Times New Roman" w:hAnsi="Times New Roman"/>
                <w:sz w:val="20"/>
                <w:szCs w:val="20"/>
              </w:rPr>
            </w:r>
          </w:p>
        </w:tc>
        <w:tc>
          <w:tcPr>
            <w:tcW w:w="780"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915" w:type="dxa"/>
            <w:tcBorders>
              <w:start w:val="single" w:sz="4" w:space="0" w:color="000000"/>
              <w:bottom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c>
          <w:tcPr>
            <w:tcW w:w="1350" w:type="dxa"/>
            <w:tcBorders>
              <w:start w:val="single" w:sz="4" w:space="0" w:color="000000"/>
              <w:bottom w:val="single" w:sz="4" w:space="0" w:color="000000"/>
              <w:end w:val="single" w:sz="4" w:space="0" w:color="000000"/>
            </w:tcBorders>
          </w:tcPr>
          <w:p>
            <w:pPr>
              <w:pStyle w:val="Style20"/>
              <w:jc w:val="center"/>
              <w:rPr>
                <w:rFonts w:ascii="Times New Roman" w:hAnsi="Times New Roman"/>
                <w:sz w:val="20"/>
                <w:szCs w:val="20"/>
              </w:rPr>
            </w:pPr>
            <w:r>
              <w:rPr>
                <w:rFonts w:ascii="Times New Roman" w:hAnsi="Times New Roman"/>
                <w:sz w:val="20"/>
                <w:szCs w:val="20"/>
              </w:rPr>
            </w:r>
          </w:p>
        </w:tc>
      </w:tr>
      <w:tr>
        <w:trPr>
          <w:trHeight w:val="27" w:hRule="atLeast"/>
        </w:trPr>
        <w:tc>
          <w:tcPr>
            <w:tcW w:w="130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Нафтопродукти (Разом)</w:t>
            </w:r>
          </w:p>
        </w:tc>
        <w:tc>
          <w:tcPr>
            <w:tcW w:w="1035" w:type="dxa"/>
            <w:tcBorders>
              <w:start w:val="single" w:sz="4" w:space="0" w:color="000000"/>
              <w:bottom w:val="single" w:sz="4" w:space="0" w:color="000000"/>
            </w:tcBorders>
          </w:tcPr>
          <w:p>
            <w:pPr>
              <w:pStyle w:val="Style20"/>
              <w:jc w:val="center"/>
              <w:rPr>
                <w:sz w:val="20"/>
                <w:szCs w:val="20"/>
              </w:rPr>
            </w:pPr>
            <w:r>
              <w:rPr>
                <w:rFonts w:ascii="Times New Roman" w:hAnsi="Times New Roman"/>
                <w:sz w:val="20"/>
                <w:szCs w:val="20"/>
              </w:rPr>
              <w:t>МВт·год</w:t>
            </w:r>
          </w:p>
        </w:tc>
        <w:tc>
          <w:tcPr>
            <w:tcW w:w="90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31,28</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76,21</w:t>
            </w:r>
          </w:p>
        </w:tc>
        <w:tc>
          <w:tcPr>
            <w:tcW w:w="1095"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80,48</w:t>
            </w:r>
          </w:p>
        </w:tc>
        <w:tc>
          <w:tcPr>
            <w:tcW w:w="1125"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75,72</w:t>
            </w:r>
          </w:p>
        </w:tc>
        <w:tc>
          <w:tcPr>
            <w:tcW w:w="1080" w:type="dxa"/>
            <w:tcBorders>
              <w:start w:val="single" w:sz="4" w:space="0" w:color="000000"/>
              <w:bottom w:val="single" w:sz="4" w:space="0" w:color="000000"/>
            </w:tcBorders>
            <w:tcMar>
              <w:top w:w="0" w:type="dxa"/>
              <w:start w:w="10" w:type="dxa"/>
              <w:bottom w:w="0" w:type="dxa"/>
              <w:end w:w="10" w:type="dxa"/>
            </w:tcMar>
          </w:tcPr>
          <w:p>
            <w:pPr>
              <w:pStyle w:val="Style20"/>
              <w:jc w:val="center"/>
              <w:rPr>
                <w:sz w:val="20"/>
                <w:szCs w:val="20"/>
              </w:rPr>
            </w:pPr>
            <w:r>
              <w:rPr>
                <w:rFonts w:ascii="Times New Roman" w:hAnsi="Times New Roman"/>
                <w:color w:val="000000"/>
                <w:sz w:val="20"/>
                <w:szCs w:val="20"/>
              </w:rPr>
              <w:t>72,27</w:t>
            </w:r>
          </w:p>
        </w:tc>
        <w:tc>
          <w:tcPr>
            <w:tcW w:w="780" w:type="dxa"/>
            <w:tcBorders>
              <w:start w:val="single" w:sz="4" w:space="0" w:color="000000"/>
              <w:bottom w:val="single" w:sz="4" w:space="0" w:color="000000"/>
            </w:tcBorders>
          </w:tcPr>
          <w:p>
            <w:pPr>
              <w:pStyle w:val="Style20"/>
              <w:jc w:val="center"/>
              <w:rPr>
                <w:sz w:val="20"/>
                <w:szCs w:val="20"/>
              </w:rPr>
            </w:pPr>
            <w:r>
              <w:rPr>
                <w:rFonts w:ascii="Times New Roman" w:hAnsi="Times New Roman"/>
                <w:color w:val="000000"/>
                <w:sz w:val="20"/>
                <w:szCs w:val="20"/>
              </w:rPr>
              <w:t>65,67</w:t>
            </w:r>
          </w:p>
        </w:tc>
        <w:tc>
          <w:tcPr>
            <w:tcW w:w="915" w:type="dxa"/>
            <w:tcBorders>
              <w:start w:val="single" w:sz="4" w:space="0" w:color="000000"/>
              <w:bottom w:val="single" w:sz="4" w:space="0" w:color="000000"/>
            </w:tcBorders>
          </w:tcPr>
          <w:p>
            <w:pPr>
              <w:pStyle w:val="Style20"/>
              <w:jc w:val="center"/>
              <w:rPr>
                <w:sz w:val="20"/>
                <w:szCs w:val="20"/>
              </w:rPr>
            </w:pPr>
            <w:r>
              <w:rPr>
                <w:rFonts w:ascii="Times New Roman" w:hAnsi="Times New Roman"/>
                <w:color w:val="000000"/>
                <w:sz w:val="20"/>
                <w:szCs w:val="20"/>
              </w:rPr>
              <w:t>56,20</w:t>
            </w:r>
          </w:p>
        </w:tc>
        <w:tc>
          <w:tcPr>
            <w:tcW w:w="1350" w:type="dxa"/>
            <w:tcBorders>
              <w:start w:val="single" w:sz="4" w:space="0" w:color="000000"/>
              <w:bottom w:val="single" w:sz="4" w:space="0" w:color="000000"/>
              <w:end w:val="single" w:sz="4" w:space="0" w:color="000000"/>
            </w:tcBorders>
          </w:tcPr>
          <w:p>
            <w:pPr>
              <w:pStyle w:val="Style20"/>
              <w:jc w:val="center"/>
              <w:rPr>
                <w:sz w:val="20"/>
                <w:szCs w:val="20"/>
              </w:rPr>
            </w:pPr>
            <w:r>
              <w:rPr>
                <w:rFonts w:ascii="Times New Roman" w:hAnsi="Times New Roman"/>
                <w:color w:val="000000"/>
                <w:sz w:val="20"/>
                <w:szCs w:val="20"/>
              </w:rPr>
              <w:t>49,78</w:t>
            </w:r>
            <w:bookmarkStart w:id="54" w:name="_GoBack_копія_1"/>
            <w:bookmarkEnd w:id="54"/>
          </w:p>
        </w:tc>
      </w:tr>
    </w:tbl>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
    </w:p>
    <w:p>
      <w:pPr>
        <w:pStyle w:val="Standard"/>
        <w:jc w:val="end"/>
        <w:rPr>
          <w:rFonts w:ascii="Times New Roman" w:hAnsi="Times New Roman"/>
          <w:sz w:val="22"/>
          <w:szCs w:val="22"/>
        </w:rPr>
      </w:pPr>
      <w:r>
        <w:rPr>
          <w:rFonts w:ascii="Times New Roman" w:hAnsi="Times New Roman"/>
          <w:color w:val="000000"/>
          <w:sz w:val="22"/>
          <w:szCs w:val="22"/>
        </w:rPr>
        <w:t>Таблиця 3</w:t>
      </w:r>
    </w:p>
    <w:p>
      <w:pPr>
        <w:pStyle w:val="Standard"/>
        <w:jc w:val="end"/>
        <w:rPr>
          <w:rFonts w:ascii="Times New Roman" w:hAnsi="Times New Roman"/>
          <w:sz w:val="22"/>
          <w:szCs w:val="22"/>
        </w:rPr>
      </w:pPr>
      <w:r>
        <w:rPr/>
      </w:r>
    </w:p>
    <w:p>
      <w:pPr>
        <w:pStyle w:val="Standard"/>
        <w:jc w:val="center"/>
        <w:rPr>
          <w:rFonts w:ascii="Times New Roman" w:hAnsi="Times New Roman"/>
          <w:sz w:val="22"/>
          <w:szCs w:val="22"/>
        </w:rPr>
      </w:pPr>
      <w:r>
        <w:rPr>
          <w:rFonts w:ascii="Times New Roman" w:hAnsi="Times New Roman"/>
          <w:sz w:val="22"/>
          <w:szCs w:val="22"/>
        </w:rPr>
        <w:t>Обсяги нарахування коштів за послугу управління відходами (з ПДВ), тис. грн</w:t>
      </w:r>
    </w:p>
    <w:tbl>
      <w:tblPr>
        <w:tblW w:w="5000" w:type="pct"/>
        <w:jc w:val="start"/>
        <w:tblInd w:w="-79" w:type="dxa"/>
        <w:tblLayout w:type="fixed"/>
        <w:tblCellMar>
          <w:top w:w="55" w:type="dxa"/>
          <w:start w:w="55" w:type="dxa"/>
          <w:bottom w:w="55" w:type="dxa"/>
          <w:end w:w="55" w:type="dxa"/>
        </w:tblCellMar>
      </w:tblPr>
      <w:tblGrid>
        <w:gridCol w:w="527"/>
        <w:gridCol w:w="3824"/>
        <w:gridCol w:w="1226"/>
        <w:gridCol w:w="954"/>
        <w:gridCol w:w="1226"/>
        <w:gridCol w:w="1227"/>
        <w:gridCol w:w="1397"/>
        <w:gridCol w:w="1065"/>
        <w:gridCol w:w="1140"/>
        <w:gridCol w:w="1984"/>
      </w:tblGrid>
      <w:tr>
        <w:trPr>
          <w:trHeight w:val="20" w:hRule="atLeast"/>
        </w:trPr>
        <w:tc>
          <w:tcPr>
            <w:tcW w:w="527"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3824"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Показник</w:t>
            </w:r>
          </w:p>
        </w:tc>
        <w:tc>
          <w:tcPr>
            <w:tcW w:w="1226"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2017</w:t>
            </w:r>
          </w:p>
        </w:tc>
        <w:tc>
          <w:tcPr>
            <w:tcW w:w="95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2018</w:t>
            </w:r>
          </w:p>
        </w:tc>
        <w:tc>
          <w:tcPr>
            <w:tcW w:w="122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2019</w:t>
            </w:r>
          </w:p>
        </w:tc>
        <w:tc>
          <w:tcPr>
            <w:tcW w:w="122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2020</w:t>
            </w:r>
          </w:p>
        </w:tc>
        <w:tc>
          <w:tcPr>
            <w:tcW w:w="139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b/>
                <w:bCs/>
                <w:sz w:val="22"/>
                <w:szCs w:val="22"/>
                <w:lang w:val="en-US"/>
              </w:rPr>
            </w:pPr>
            <w:r>
              <w:rPr>
                <w:rFonts w:ascii="Times New Roman" w:hAnsi="Times New Roman"/>
                <w:b/>
                <w:bCs/>
                <w:sz w:val="22"/>
                <w:szCs w:val="22"/>
                <w:lang w:val="en-US"/>
              </w:rPr>
              <w:t>2021</w:t>
            </w:r>
          </w:p>
        </w:tc>
        <w:tc>
          <w:tcPr>
            <w:tcW w:w="1065"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98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20" w:hRule="atLeast"/>
        </w:trPr>
        <w:tc>
          <w:tcPr>
            <w:tcW w:w="52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3824"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Побутові споживачі</w:t>
            </w:r>
          </w:p>
        </w:tc>
        <w:tc>
          <w:tcPr>
            <w:tcW w:w="1226"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890,57</w:t>
            </w:r>
          </w:p>
        </w:tc>
        <w:tc>
          <w:tcPr>
            <w:tcW w:w="954"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3508,33</w:t>
            </w:r>
          </w:p>
        </w:tc>
        <w:tc>
          <w:tcPr>
            <w:tcW w:w="1226"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5910,86</w:t>
            </w:r>
          </w:p>
        </w:tc>
        <w:tc>
          <w:tcPr>
            <w:tcW w:w="122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6284,52</w:t>
            </w:r>
          </w:p>
        </w:tc>
        <w:tc>
          <w:tcPr>
            <w:tcW w:w="1397" w:type="dxa"/>
            <w:tcBorders>
              <w:top w:val="single" w:sz="4" w:space="0" w:color="000000"/>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8494,02</w:t>
            </w:r>
          </w:p>
        </w:tc>
        <w:tc>
          <w:tcPr>
            <w:tcW w:w="1065"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9995,64</w:t>
            </w:r>
          </w:p>
        </w:tc>
        <w:tc>
          <w:tcPr>
            <w:tcW w:w="114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12059,56</w:t>
            </w:r>
          </w:p>
        </w:tc>
        <w:tc>
          <w:tcPr>
            <w:tcW w:w="1984"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13243,66</w:t>
            </w:r>
          </w:p>
        </w:tc>
      </w:tr>
      <w:tr>
        <w:trPr>
          <w:trHeight w:val="20" w:hRule="atLeast"/>
        </w:trPr>
        <w:tc>
          <w:tcPr>
            <w:tcW w:w="52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38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Бюджетні установи</w:t>
            </w:r>
          </w:p>
        </w:tc>
        <w:tc>
          <w:tcPr>
            <w:tcW w:w="1226"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367,28</w:t>
            </w:r>
          </w:p>
        </w:tc>
        <w:tc>
          <w:tcPr>
            <w:tcW w:w="954"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877,20</w:t>
            </w:r>
          </w:p>
        </w:tc>
        <w:tc>
          <w:tcPr>
            <w:tcW w:w="1226"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424,83</w:t>
            </w:r>
          </w:p>
        </w:tc>
        <w:tc>
          <w:tcPr>
            <w:tcW w:w="122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146,69</w:t>
            </w:r>
          </w:p>
        </w:tc>
        <w:tc>
          <w:tcPr>
            <w:tcW w:w="139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176,76</w:t>
            </w:r>
          </w:p>
        </w:tc>
        <w:tc>
          <w:tcPr>
            <w:tcW w:w="106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140,70</w:t>
            </w:r>
          </w:p>
        </w:tc>
        <w:tc>
          <w:tcPr>
            <w:tcW w:w="114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156,05</w:t>
            </w:r>
          </w:p>
        </w:tc>
        <w:tc>
          <w:tcPr>
            <w:tcW w:w="1984"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214,48</w:t>
            </w:r>
          </w:p>
        </w:tc>
      </w:tr>
      <w:tr>
        <w:trPr>
          <w:trHeight w:val="20" w:hRule="atLeast"/>
        </w:trPr>
        <w:tc>
          <w:tcPr>
            <w:tcW w:w="52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38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Інші споживачі</w:t>
            </w:r>
          </w:p>
        </w:tc>
        <w:tc>
          <w:tcPr>
            <w:tcW w:w="1226"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207,70</w:t>
            </w:r>
          </w:p>
        </w:tc>
        <w:tc>
          <w:tcPr>
            <w:tcW w:w="954"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729,66</w:t>
            </w:r>
          </w:p>
        </w:tc>
        <w:tc>
          <w:tcPr>
            <w:tcW w:w="1226" w:type="dxa"/>
            <w:tcBorders>
              <w:start w:val="single" w:sz="4" w:space="0" w:color="000000"/>
              <w:bottom w:val="single" w:sz="4" w:space="0" w:color="000000"/>
              <w:end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1416,09</w:t>
            </w:r>
          </w:p>
        </w:tc>
        <w:tc>
          <w:tcPr>
            <w:tcW w:w="122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1241,52</w:t>
            </w:r>
          </w:p>
        </w:tc>
        <w:tc>
          <w:tcPr>
            <w:tcW w:w="1397" w:type="dxa"/>
            <w:tcBorders>
              <w:start w:val="single" w:sz="4" w:space="0" w:color="000000"/>
              <w:bottom w:val="single" w:sz="4" w:space="0" w:color="000000"/>
            </w:tcBorders>
            <w:tcMar>
              <w:top w:w="0" w:type="dxa"/>
              <w:start w:w="10" w:type="dxa"/>
              <w:bottom w:w="0" w:type="dxa"/>
              <w:end w:w="10" w:type="dxa"/>
            </w:tcMar>
          </w:tcPr>
          <w:p>
            <w:pPr>
              <w:pStyle w:val="Style20"/>
              <w:jc w:val="center"/>
              <w:rPr>
                <w:rFonts w:ascii="Times New Roman" w:hAnsi="Times New Roman"/>
                <w:sz w:val="22"/>
                <w:szCs w:val="22"/>
              </w:rPr>
            </w:pPr>
            <w:r>
              <w:rPr>
                <w:rFonts w:ascii="Times New Roman" w:hAnsi="Times New Roman"/>
                <w:sz w:val="22"/>
                <w:szCs w:val="22"/>
              </w:rPr>
              <w:t>1770,63</w:t>
            </w:r>
          </w:p>
        </w:tc>
        <w:tc>
          <w:tcPr>
            <w:tcW w:w="1065"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1351,74</w:t>
            </w:r>
          </w:p>
        </w:tc>
        <w:tc>
          <w:tcPr>
            <w:tcW w:w="114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1737,73</w:t>
            </w:r>
          </w:p>
        </w:tc>
        <w:tc>
          <w:tcPr>
            <w:tcW w:w="1984"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2007,95</w:t>
            </w:r>
          </w:p>
        </w:tc>
      </w:tr>
      <w:tr>
        <w:trPr>
          <w:trHeight w:val="20" w:hRule="atLeast"/>
        </w:trPr>
        <w:tc>
          <w:tcPr>
            <w:tcW w:w="52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3824"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Загальний обсяг нарахувань</w:t>
            </w:r>
          </w:p>
        </w:tc>
        <w:tc>
          <w:tcPr>
            <w:tcW w:w="1226"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1465,55</w:t>
            </w:r>
          </w:p>
        </w:tc>
        <w:tc>
          <w:tcPr>
            <w:tcW w:w="954"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5115,19</w:t>
            </w:r>
          </w:p>
        </w:tc>
        <w:tc>
          <w:tcPr>
            <w:tcW w:w="1226" w:type="dxa"/>
            <w:tcBorders>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7751,78</w:t>
            </w:r>
          </w:p>
        </w:tc>
        <w:tc>
          <w:tcPr>
            <w:tcW w:w="1227"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7672,73</w:t>
            </w:r>
          </w:p>
        </w:tc>
        <w:tc>
          <w:tcPr>
            <w:tcW w:w="1397" w:type="dxa"/>
            <w:tcBorders>
              <w:start w:val="single" w:sz="4" w:space="0" w:color="000000"/>
              <w:bottom w:val="single" w:sz="4" w:space="0" w:color="000000"/>
            </w:tcBorders>
            <w:tcMar>
              <w:top w:w="0" w:type="dxa"/>
              <w:start w:w="10" w:type="dxa"/>
              <w:bottom w:w="0" w:type="dxa"/>
              <w:end w:w="10" w:type="dxa"/>
            </w:tcMar>
            <w:vAlign w:val="center"/>
          </w:tcPr>
          <w:p>
            <w:pPr>
              <w:pStyle w:val="Normal"/>
              <w:jc w:val="center"/>
              <w:rPr>
                <w:color w:val="000000"/>
                <w:sz w:val="22"/>
                <w:szCs w:val="22"/>
              </w:rPr>
            </w:pPr>
            <w:r>
              <w:rPr>
                <w:color w:val="000000"/>
                <w:sz w:val="22"/>
                <w:szCs w:val="22"/>
              </w:rPr>
              <w:t>10441,41</w:t>
            </w:r>
          </w:p>
        </w:tc>
        <w:tc>
          <w:tcPr>
            <w:tcW w:w="1065" w:type="dxa"/>
            <w:tcBorders>
              <w:start w:val="single" w:sz="4" w:space="0" w:color="000000"/>
              <w:bottom w:val="single" w:sz="4" w:space="0" w:color="000000"/>
            </w:tcBorders>
            <w:vAlign w:val="center"/>
          </w:tcPr>
          <w:p>
            <w:pPr>
              <w:pStyle w:val="Normal"/>
              <w:jc w:val="center"/>
              <w:rPr>
                <w:color w:val="000000"/>
                <w:sz w:val="22"/>
                <w:szCs w:val="22"/>
              </w:rPr>
            </w:pPr>
            <w:r>
              <w:rPr>
                <w:color w:val="000000"/>
                <w:sz w:val="22"/>
                <w:szCs w:val="22"/>
              </w:rPr>
              <w:t>11488,08</w:t>
            </w:r>
          </w:p>
        </w:tc>
        <w:tc>
          <w:tcPr>
            <w:tcW w:w="1140" w:type="dxa"/>
            <w:tcBorders>
              <w:start w:val="single" w:sz="4" w:space="0" w:color="000000"/>
              <w:bottom w:val="single" w:sz="4" w:space="0" w:color="000000"/>
            </w:tcBorders>
            <w:vAlign w:val="center"/>
          </w:tcPr>
          <w:p>
            <w:pPr>
              <w:pStyle w:val="Normal"/>
              <w:jc w:val="center"/>
              <w:rPr>
                <w:color w:val="000000"/>
                <w:sz w:val="22"/>
                <w:szCs w:val="22"/>
              </w:rPr>
            </w:pPr>
            <w:r>
              <w:rPr>
                <w:color w:val="000000"/>
                <w:sz w:val="22"/>
                <w:szCs w:val="22"/>
              </w:rPr>
              <w:t>13953,34</w:t>
            </w:r>
          </w:p>
        </w:tc>
        <w:tc>
          <w:tcPr>
            <w:tcW w:w="1984" w:type="dxa"/>
            <w:tcBorders>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15466,09</w:t>
            </w:r>
          </w:p>
        </w:tc>
      </w:tr>
    </w:tbl>
    <w:p>
      <w:pPr>
        <w:pStyle w:val="Standard"/>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sectPr>
          <w:type w:val="nextPage"/>
          <w:pgSz w:orient="landscape" w:w="16838" w:h="11906"/>
          <w:pgMar w:left="1134" w:right="1134" w:gutter="0" w:header="0" w:top="284" w:footer="0" w:bottom="142"/>
          <w:pgNumType w:fmt="decimal"/>
          <w:formProt w:val="false"/>
          <w:textDirection w:val="lrTb"/>
          <w:docGrid w:type="default" w:linePitch="600" w:charSpace="32768"/>
        </w:sectPr>
      </w:pPr>
      <w:r>
        <w:rPr>
          <w:rFonts w:ascii="Times New Roman" w:hAnsi="Times New Roman"/>
          <w:sz w:val="22"/>
          <w:szCs w:val="22"/>
          <w:lang w:val="en-US"/>
        </w:rPr>
      </w:r>
    </w:p>
    <w:p>
      <w:pPr>
        <w:pStyle w:val="BodyText"/>
        <w:widowControl/>
        <w:pBdr/>
        <w:spacing w:before="0" w:after="150"/>
        <w:ind w:firstLine="450" w:start="0" w:end="0"/>
        <w:jc w:val="both"/>
        <w:rPr/>
      </w:pPr>
      <w:r>
        <w:rPr>
          <w:rFonts w:eastAsia="Century Gothic" w:cs="Century Gothic"/>
          <w:b w:val="false"/>
          <w:bCs w:val="false"/>
          <w:i w:val="false"/>
          <w:caps w:val="false"/>
          <w:smallCaps w:val="false"/>
          <w:color w:val="000000"/>
          <w:spacing w:val="0"/>
          <w:kern w:val="0"/>
          <w:sz w:val="28"/>
          <w:szCs w:val="28"/>
          <w:shd w:fill="auto" w:val="clear"/>
          <w:lang w:eastAsia="uk-UA"/>
        </w:rPr>
        <w:t>В</w:t>
      </w:r>
      <w:r>
        <w:rPr>
          <w:rFonts w:eastAsia="Century Gothic" w:cs="Century Gothic"/>
          <w:b w:val="false"/>
          <w:bCs w:val="false"/>
          <w:i w:val="false"/>
          <w:caps w:val="false"/>
          <w:smallCaps w:val="false"/>
          <w:color w:val="000000"/>
          <w:spacing w:val="0"/>
          <w:kern w:val="0"/>
          <w:sz w:val="28"/>
          <w:szCs w:val="28"/>
          <w:shd w:fill="auto" w:val="clear"/>
          <w:lang w:eastAsia="uk-UA"/>
        </w:rPr>
        <w:t xml:space="preserve">ихідні дані </w:t>
      </w:r>
      <w:r>
        <w:rPr>
          <w:rFonts w:eastAsia="Century Gothic" w:cs="Century Gothic"/>
          <w:b w:val="false"/>
          <w:bCs w:val="false"/>
          <w:i w:val="false"/>
          <w:caps w:val="false"/>
          <w:smallCaps w:val="false"/>
          <w:color w:val="000000"/>
          <w:spacing w:val="0"/>
          <w:kern w:val="0"/>
          <w:sz w:val="28"/>
          <w:szCs w:val="28"/>
          <w:shd w:fill="auto" w:val="clear"/>
          <w:lang w:eastAsia="uk-UA"/>
        </w:rPr>
        <w:t>Т</w:t>
      </w:r>
      <w:r>
        <w:rPr>
          <w:rFonts w:eastAsia="Century Gothic" w:cs="Century Gothic"/>
          <w:b w:val="false"/>
          <w:bCs w:val="false"/>
          <w:i w:val="false"/>
          <w:caps w:val="false"/>
          <w:smallCaps w:val="false"/>
          <w:color w:val="000000"/>
          <w:spacing w:val="0"/>
          <w:kern w:val="0"/>
          <w:sz w:val="28"/>
          <w:szCs w:val="28"/>
          <w:shd w:fill="auto" w:val="clear"/>
          <w:lang w:eastAsia="uk-UA"/>
        </w:rPr>
        <w:t>ОВ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АТЛАС АКТИВ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w:t>
      </w:r>
      <w:r>
        <w:rPr>
          <w:rFonts w:eastAsia="Century Gothic" w:cs="Century Gothic"/>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1</w:t>
      </w:r>
    </w:p>
    <w:p>
      <w:pPr>
        <w:pStyle w:val="Normal"/>
        <w:spacing w:before="0" w:after="0"/>
        <w:jc w:val="end"/>
        <w:rPr>
          <w:rFonts w:ascii="Times New Roman" w:hAnsi="Times New Roman"/>
          <w:sz w:val="22"/>
          <w:szCs w:val="22"/>
        </w:rPr>
      </w:pPr>
      <w:r>
        <w:rPr>
          <w:rFonts w:ascii="Times New Roman" w:hAnsi="Times New Roman"/>
          <w:sz w:val="22"/>
          <w:szCs w:val="22"/>
        </w:rPr>
      </w:r>
    </w:p>
    <w:p>
      <w:pPr>
        <w:pStyle w:val="Normal"/>
        <w:spacing w:before="0" w:after="0"/>
        <w:jc w:val="center"/>
        <w:rPr>
          <w:rFonts w:ascii="Times New Roman" w:hAnsi="Times New Roman"/>
          <w:sz w:val="22"/>
          <w:szCs w:val="22"/>
        </w:rPr>
      </w:pPr>
      <w:r>
        <w:rPr>
          <w:rFonts w:ascii="Times New Roman" w:hAnsi="Times New Roman"/>
          <w:sz w:val="22"/>
          <w:szCs w:val="22"/>
        </w:rPr>
        <w:t>Виробничі показники теплопостачальних підприємств</w:t>
      </w:r>
    </w:p>
    <w:p>
      <w:pPr>
        <w:pStyle w:val="Normal"/>
        <w:spacing w:before="0" w:after="0"/>
        <w:jc w:val="center"/>
        <w:rPr>
          <w:sz w:val="22"/>
          <w:szCs w:val="22"/>
        </w:rPr>
      </w:pPr>
      <w:r>
        <w:rPr>
          <w:rFonts w:ascii="Times New Roman" w:hAnsi="Times New Roman"/>
        </w:rPr>
      </w:r>
    </w:p>
    <w:tbl>
      <w:tblPr>
        <w:tblW w:w="10299" w:type="dxa"/>
        <w:jc w:val="start"/>
        <w:tblInd w:w="-549" w:type="dxa"/>
        <w:tblLayout w:type="fixed"/>
        <w:tblCellMar>
          <w:top w:w="55" w:type="dxa"/>
          <w:start w:w="55" w:type="dxa"/>
          <w:bottom w:w="55" w:type="dxa"/>
          <w:end w:w="55" w:type="dxa"/>
        </w:tblCellMar>
      </w:tblPr>
      <w:tblGrid>
        <w:gridCol w:w="513"/>
        <w:gridCol w:w="2887"/>
        <w:gridCol w:w="2200"/>
        <w:gridCol w:w="1600"/>
        <w:gridCol w:w="1700"/>
        <w:gridCol w:w="1399"/>
      </w:tblGrid>
      <w:tr>
        <w:trPr>
          <w:trHeight w:val="19" w:hRule="atLeast"/>
        </w:trPr>
        <w:tc>
          <w:tcPr>
            <w:tcW w:w="513"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288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Найменування</w:t>
            </w:r>
          </w:p>
        </w:tc>
        <w:tc>
          <w:tcPr>
            <w:tcW w:w="22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6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r>
              <w:rPr>
                <w:rFonts w:ascii="Times New Roman" w:hAnsi="Times New Roman"/>
                <w:b/>
                <w:bCs/>
                <w:sz w:val="22"/>
                <w:szCs w:val="22"/>
              </w:rPr>
              <w:t>*</w:t>
            </w:r>
          </w:p>
        </w:tc>
        <w:tc>
          <w:tcPr>
            <w:tcW w:w="17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399"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19" w:hRule="atLeast"/>
        </w:trPr>
        <w:tc>
          <w:tcPr>
            <w:tcW w:w="51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288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Виробництво теплової енергії всього</w:t>
            </w:r>
          </w:p>
        </w:tc>
        <w:tc>
          <w:tcPr>
            <w:tcW w:w="22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2562,78</w:t>
            </w:r>
          </w:p>
        </w:tc>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7946,73</w:t>
            </w:r>
          </w:p>
        </w:tc>
        <w:tc>
          <w:tcPr>
            <w:tcW w:w="139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7721,56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Втрати в мережах</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320,36</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919,41</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602,78</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Корисний відпуск теплової енергії, в т.ч.:</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283</w:t>
            </w:r>
            <w:r>
              <w:rPr>
                <w:rFonts w:ascii="Times New Roman" w:hAnsi="Times New Roman"/>
                <w:sz w:val="22"/>
                <w:szCs w:val="22"/>
              </w:rPr>
              <w:t>,</w:t>
            </w:r>
            <w:r>
              <w:rPr>
                <w:rFonts w:ascii="Times New Roman" w:hAnsi="Times New Roman"/>
                <w:sz w:val="22"/>
                <w:szCs w:val="22"/>
              </w:rPr>
              <w:t>31</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7027,32</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7118,79</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3. </w:t>
            </w:r>
            <w:r>
              <w:rPr>
                <w:rFonts w:ascii="Times New Roman" w:hAnsi="Times New Roman"/>
                <w:sz w:val="22"/>
                <w:szCs w:val="22"/>
              </w:rPr>
              <w:t>1</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Населення</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Бюджетна сфера</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283</w:t>
            </w:r>
            <w:r>
              <w:rPr>
                <w:rFonts w:ascii="Times New Roman" w:hAnsi="Times New Roman"/>
                <w:sz w:val="22"/>
                <w:szCs w:val="22"/>
              </w:rPr>
              <w:t>,</w:t>
            </w:r>
            <w:r>
              <w:rPr>
                <w:rFonts w:ascii="Times New Roman" w:hAnsi="Times New Roman"/>
                <w:sz w:val="22"/>
                <w:szCs w:val="22"/>
              </w:rPr>
              <w:t>31</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7027,32</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7118,79</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Інші </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газу</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т.м3</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електроенергії</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т.кВт*ч</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60,5</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201</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190</w:t>
            </w:r>
          </w:p>
        </w:tc>
      </w:tr>
    </w:tbl>
    <w:p>
      <w:pPr>
        <w:pStyle w:val="Normal"/>
        <w:spacing w:before="160" w:after="160"/>
        <w:jc w:val="both"/>
        <w:rPr>
          <w:rFonts w:ascii="Times New Roman" w:hAnsi="Times New Roman"/>
          <w:color w:val="000000"/>
          <w:sz w:val="20"/>
          <w:szCs w:val="20"/>
        </w:rPr>
      </w:pP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2</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 xml:space="preserve">022* - за період листопад-грудень 2022 р., з моменту роботи </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Т</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ОВ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4"/>
          <w:szCs w:val="24"/>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4"/>
          <w:szCs w:val="24"/>
          <w:u w:val="none"/>
          <w:shd w:fill="auto" w:val="clear"/>
          <w:em w:val="none"/>
          <w:lang w:val="uk-UA" w:eastAsia="uk-UA"/>
        </w:rPr>
        <w:t>АТЛАС АКТИВ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4"/>
          <w:szCs w:val="24"/>
          <w:u w:val="none"/>
          <w:shd w:fill="auto" w:val="clear"/>
          <w:em w:val="none"/>
          <w:lang w:val="uk-UA" w:eastAsia="uk-UA"/>
        </w:rPr>
        <w:t>»</w:t>
      </w:r>
      <w:r>
        <w:rPr>
          <w:rFonts w:eastAsia="Century Gothic" w:cs="Century Gothic" w:ascii="Times New Roman" w:hAnsi="Times New Roman"/>
          <w:b w:val="false"/>
          <w:bCs w:val="false"/>
          <w:i w:val="false"/>
          <w:caps w:val="false"/>
          <w:smallCaps w:val="false"/>
          <w:color w:val="000000"/>
          <w:spacing w:val="0"/>
          <w:kern w:val="0"/>
          <w:sz w:val="24"/>
          <w:szCs w:val="24"/>
          <w:shd w:fill="auto" w:val="clear"/>
          <w:lang w:eastAsia="uk-UA"/>
        </w:rPr>
        <w:t xml:space="preserve"> </w:t>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r>
        <w:br w:type="page"/>
      </w:r>
    </w:p>
    <w:p>
      <w:pPr>
        <w:pStyle w:val="BodyText"/>
        <w:widowControl/>
        <w:pBdr/>
        <w:spacing w:before="0" w:after="150"/>
        <w:ind w:firstLine="450" w:start="0" w:end="0"/>
        <w:jc w:val="both"/>
        <w:rPr/>
      </w:pPr>
      <w:r>
        <w:rPr>
          <w:rFonts w:eastAsia="Century Gothic" w:cs="Century Gothic"/>
          <w:b w:val="false"/>
          <w:bCs w:val="false"/>
          <w:i w:val="false"/>
          <w:caps w:val="false"/>
          <w:smallCaps w:val="false"/>
          <w:color w:val="000000"/>
          <w:spacing w:val="0"/>
          <w:kern w:val="0"/>
          <w:sz w:val="28"/>
          <w:szCs w:val="28"/>
          <w:shd w:fill="auto" w:val="clear"/>
          <w:lang w:eastAsia="uk-UA"/>
        </w:rPr>
        <w:t>В</w:t>
      </w:r>
      <w:r>
        <w:rPr>
          <w:rFonts w:eastAsia="Century Gothic" w:cs="Century Gothic"/>
          <w:b w:val="false"/>
          <w:bCs w:val="false"/>
          <w:i w:val="false"/>
          <w:caps w:val="false"/>
          <w:smallCaps w:val="false"/>
          <w:color w:val="000000"/>
          <w:spacing w:val="0"/>
          <w:kern w:val="0"/>
          <w:sz w:val="28"/>
          <w:szCs w:val="28"/>
          <w:shd w:fill="auto" w:val="clear"/>
          <w:lang w:eastAsia="uk-UA"/>
        </w:rPr>
        <w:t xml:space="preserve">ихідні дані </w:t>
      </w:r>
      <w:r>
        <w:rPr>
          <w:rFonts w:eastAsia="Century Gothic" w:cs="Century Gothic"/>
          <w:b w:val="false"/>
          <w:bCs w:val="false"/>
          <w:i w:val="false"/>
          <w:caps w:val="false"/>
          <w:smallCaps w:val="false"/>
          <w:color w:val="000000"/>
          <w:spacing w:val="0"/>
          <w:kern w:val="0"/>
          <w:sz w:val="28"/>
          <w:szCs w:val="28"/>
          <w:shd w:fill="auto" w:val="clear"/>
          <w:lang w:eastAsia="uk-UA"/>
        </w:rPr>
        <w:t>Т</w:t>
      </w:r>
      <w:r>
        <w:rPr>
          <w:rFonts w:eastAsia="Century Gothic" w:cs="Century Gothic"/>
          <w:b w:val="false"/>
          <w:bCs w:val="false"/>
          <w:i w:val="false"/>
          <w:caps w:val="false"/>
          <w:smallCaps w:val="false"/>
          <w:color w:val="000000"/>
          <w:spacing w:val="0"/>
          <w:kern w:val="0"/>
          <w:sz w:val="28"/>
          <w:szCs w:val="28"/>
          <w:shd w:fill="auto" w:val="clear"/>
          <w:lang w:eastAsia="uk-UA"/>
        </w:rPr>
        <w:t>ОВ</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 xml:space="preserve"> «</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УКРТЕХРЕСУРС</w:t>
      </w:r>
      <w:r>
        <w:rPr>
          <w:rStyle w:val="Hyperlink"/>
          <w:rFonts w:eastAsia="Century Gothic"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8"/>
          <w:szCs w:val="28"/>
          <w:u w:val="none"/>
          <w:shd w:fill="auto" w:val="clear"/>
          <w:em w:val="none"/>
          <w:lang w:val="uk-UA" w:eastAsia="uk-UA"/>
        </w:rPr>
        <w:t>»</w:t>
      </w:r>
      <w:r>
        <w:rPr>
          <w:rFonts w:eastAsia="Century Gothic" w:cs="Century Gothic"/>
          <w:b w:val="false"/>
          <w:bCs w:val="false"/>
          <w:i w:val="false"/>
          <w:caps w:val="false"/>
          <w:smallCaps w:val="false"/>
          <w:color w:val="000000"/>
          <w:spacing w:val="0"/>
          <w:kern w:val="0"/>
          <w:sz w:val="28"/>
          <w:szCs w:val="28"/>
          <w:shd w:fill="auto" w:val="clear"/>
          <w:lang w:eastAsia="uk-UA"/>
        </w:rPr>
        <w:t>, що використовувались для розроблення муніципального енергетичного плану</w:t>
      </w:r>
    </w:p>
    <w:p>
      <w:pPr>
        <w:pStyle w:val="Normal"/>
        <w:spacing w:before="160" w:after="0"/>
        <w:jc w:val="end"/>
        <w:rPr>
          <w:rFonts w:ascii="Times New Roman" w:hAnsi="Times New Roman"/>
          <w:sz w:val="22"/>
          <w:szCs w:val="22"/>
        </w:rPr>
      </w:pPr>
      <w:r>
        <w:rPr>
          <w:rFonts w:ascii="Times New Roman" w:hAnsi="Times New Roman"/>
          <w:sz w:val="22"/>
          <w:szCs w:val="22"/>
        </w:rPr>
        <w:t xml:space="preserve">Таблиця </w:t>
      </w:r>
      <w:r>
        <w:rPr>
          <w:rFonts w:ascii="Times New Roman" w:hAnsi="Times New Roman"/>
          <w:sz w:val="22"/>
          <w:szCs w:val="22"/>
        </w:rPr>
        <w:t>1</w:t>
      </w:r>
    </w:p>
    <w:p>
      <w:pPr>
        <w:pStyle w:val="Normal"/>
        <w:spacing w:before="0" w:after="0"/>
        <w:jc w:val="center"/>
        <w:rPr>
          <w:rFonts w:ascii="Times New Roman" w:hAnsi="Times New Roman"/>
          <w:sz w:val="22"/>
          <w:szCs w:val="22"/>
        </w:rPr>
      </w:pPr>
      <w:r>
        <w:rPr>
          <w:rFonts w:ascii="Times New Roman" w:hAnsi="Times New Roman"/>
          <w:sz w:val="22"/>
          <w:szCs w:val="22"/>
        </w:rPr>
        <w:t>Виробничі показники теплопостачальних підприємств</w:t>
      </w:r>
    </w:p>
    <w:p>
      <w:pPr>
        <w:pStyle w:val="Normal"/>
        <w:spacing w:before="0" w:after="0"/>
        <w:jc w:val="center"/>
        <w:rPr>
          <w:sz w:val="22"/>
          <w:szCs w:val="22"/>
        </w:rPr>
      </w:pPr>
      <w:r>
        <w:rPr>
          <w:rFonts w:ascii="Times New Roman" w:hAnsi="Times New Roman"/>
        </w:rPr>
      </w:r>
    </w:p>
    <w:tbl>
      <w:tblPr>
        <w:tblW w:w="10299" w:type="dxa"/>
        <w:jc w:val="start"/>
        <w:tblInd w:w="-549" w:type="dxa"/>
        <w:tblLayout w:type="fixed"/>
        <w:tblCellMar>
          <w:top w:w="55" w:type="dxa"/>
          <w:start w:w="55" w:type="dxa"/>
          <w:bottom w:w="55" w:type="dxa"/>
          <w:end w:w="55" w:type="dxa"/>
        </w:tblCellMar>
      </w:tblPr>
      <w:tblGrid>
        <w:gridCol w:w="513"/>
        <w:gridCol w:w="2887"/>
        <w:gridCol w:w="2200"/>
        <w:gridCol w:w="1600"/>
        <w:gridCol w:w="1700"/>
        <w:gridCol w:w="1399"/>
      </w:tblGrid>
      <w:tr>
        <w:trPr>
          <w:trHeight w:val="19" w:hRule="atLeast"/>
        </w:trPr>
        <w:tc>
          <w:tcPr>
            <w:tcW w:w="513"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w:t>
            </w:r>
          </w:p>
        </w:tc>
        <w:tc>
          <w:tcPr>
            <w:tcW w:w="2887"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Найменування</w:t>
            </w:r>
          </w:p>
        </w:tc>
        <w:tc>
          <w:tcPr>
            <w:tcW w:w="22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Од. вим.</w:t>
            </w:r>
          </w:p>
        </w:tc>
        <w:tc>
          <w:tcPr>
            <w:tcW w:w="16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2022</w:t>
            </w:r>
            <w:r>
              <w:rPr>
                <w:rFonts w:ascii="Times New Roman" w:hAnsi="Times New Roman"/>
                <w:b/>
                <w:bCs/>
                <w:sz w:val="22"/>
                <w:szCs w:val="22"/>
              </w:rPr>
              <w:t>*</w:t>
            </w:r>
          </w:p>
        </w:tc>
        <w:tc>
          <w:tcPr>
            <w:tcW w:w="1700" w:type="dxa"/>
            <w:tcBorders>
              <w:top w:val="single" w:sz="4" w:space="0" w:color="000000"/>
              <w:start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2023</w:t>
            </w:r>
          </w:p>
        </w:tc>
        <w:tc>
          <w:tcPr>
            <w:tcW w:w="1399" w:type="dxa"/>
            <w:tcBorders>
              <w:top w:val="single" w:sz="4" w:space="0" w:color="000000"/>
              <w:start w:val="single" w:sz="4" w:space="0" w:color="000000"/>
              <w:end w:val="single" w:sz="4" w:space="0" w:color="000000"/>
            </w:tcBorders>
          </w:tcPr>
          <w:p>
            <w:pPr>
              <w:pStyle w:val="Style20"/>
              <w:jc w:val="center"/>
              <w:rPr>
                <w:rFonts w:ascii="Times New Roman" w:hAnsi="Times New Roman"/>
                <w:b/>
                <w:bCs/>
                <w:sz w:val="22"/>
                <w:szCs w:val="22"/>
              </w:rPr>
            </w:pPr>
            <w:r>
              <w:rPr>
                <w:rFonts w:ascii="Times New Roman" w:hAnsi="Times New Roman"/>
                <w:b/>
                <w:bCs/>
                <w:sz w:val="22"/>
                <w:szCs w:val="22"/>
              </w:rPr>
              <w:t>2024</w:t>
            </w:r>
          </w:p>
        </w:tc>
      </w:tr>
      <w:tr>
        <w:trPr>
          <w:trHeight w:val="19" w:hRule="atLeast"/>
        </w:trPr>
        <w:tc>
          <w:tcPr>
            <w:tcW w:w="513"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w:t>
            </w:r>
          </w:p>
        </w:tc>
        <w:tc>
          <w:tcPr>
            <w:tcW w:w="2887"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Виробництво теплової енергії всього</w:t>
            </w:r>
          </w:p>
        </w:tc>
        <w:tc>
          <w:tcPr>
            <w:tcW w:w="22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1181,64</w:t>
            </w:r>
          </w:p>
        </w:tc>
        <w:tc>
          <w:tcPr>
            <w:tcW w:w="1700" w:type="dxa"/>
            <w:tcBorders>
              <w:top w:val="single" w:sz="4" w:space="0" w:color="000000"/>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1411,69</w:t>
            </w:r>
          </w:p>
        </w:tc>
        <w:tc>
          <w:tcPr>
            <w:tcW w:w="1399" w:type="dxa"/>
            <w:tcBorders>
              <w:top w:val="single" w:sz="4" w:space="0" w:color="000000"/>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1424,06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Втрати в мережах</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Корисний відпуск теплової енергії, в т.ч.:</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1181,64</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1411,69</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1424,06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3. </w:t>
            </w:r>
            <w:r>
              <w:rPr>
                <w:rFonts w:ascii="Times New Roman" w:hAnsi="Times New Roman"/>
                <w:sz w:val="22"/>
                <w:szCs w:val="22"/>
              </w:rPr>
              <w:t>1</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Населення</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2</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Бюджетна сфера</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1181,64</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1411,69</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1424,06</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3</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 xml:space="preserve">Інші </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Гкал</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0</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4</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газу</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т.м3</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9,64</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10,47</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10,93</w:t>
            </w:r>
          </w:p>
        </w:tc>
      </w:tr>
      <w:tr>
        <w:trPr>
          <w:trHeight w:val="19" w:hRule="atLeast"/>
        </w:trPr>
        <w:tc>
          <w:tcPr>
            <w:tcW w:w="513"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5</w:t>
            </w:r>
          </w:p>
        </w:tc>
        <w:tc>
          <w:tcPr>
            <w:tcW w:w="2887"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Споживання електроенергії</w:t>
            </w:r>
          </w:p>
        </w:tc>
        <w:tc>
          <w:tcPr>
            <w:tcW w:w="22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т.кВт*ч</w:t>
            </w:r>
          </w:p>
        </w:tc>
        <w:tc>
          <w:tcPr>
            <w:tcW w:w="16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1,76</w:t>
            </w:r>
          </w:p>
        </w:tc>
        <w:tc>
          <w:tcPr>
            <w:tcW w:w="1700" w:type="dxa"/>
            <w:tcBorders>
              <w:start w:val="single" w:sz="4" w:space="0" w:color="000000"/>
              <w:bottom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1,85</w:t>
            </w:r>
          </w:p>
        </w:tc>
        <w:tc>
          <w:tcPr>
            <w:tcW w:w="1399" w:type="dxa"/>
            <w:tcBorders>
              <w:start w:val="single" w:sz="4" w:space="0" w:color="000000"/>
              <w:bottom w:val="single" w:sz="4" w:space="0" w:color="000000"/>
              <w:end w:val="single" w:sz="4" w:space="0" w:color="000000"/>
            </w:tcBorders>
          </w:tcPr>
          <w:p>
            <w:pPr>
              <w:pStyle w:val="Style20"/>
              <w:jc w:val="center"/>
              <w:rPr>
                <w:rFonts w:ascii="Times New Roman" w:hAnsi="Times New Roman"/>
                <w:sz w:val="22"/>
                <w:szCs w:val="22"/>
              </w:rPr>
            </w:pPr>
            <w:r>
              <w:rPr>
                <w:rFonts w:ascii="Times New Roman" w:hAnsi="Times New Roman"/>
                <w:sz w:val="22"/>
                <w:szCs w:val="22"/>
              </w:rPr>
              <w:t>2,09</w:t>
            </w:r>
          </w:p>
        </w:tc>
      </w:tr>
    </w:tbl>
    <w:p>
      <w:pPr>
        <w:pStyle w:val="Normal"/>
        <w:spacing w:before="160" w:after="16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Fonts w:ascii="Times New Roman" w:hAnsi="Times New Roman"/>
          <w:color w:val="000000"/>
          <w:sz w:val="20"/>
          <w:szCs w:val="20"/>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both"/>
        <w:rPr>
          <w:rFonts w:ascii="Times New Roman" w:hAnsi="Times New Roman" w:eastAsia="Century Gothic" w:cs="Century Gothic"/>
          <w:b w:val="false"/>
          <w:bCs w:val="false"/>
          <w:i w:val="false"/>
          <w:caps w:val="false"/>
          <w:smallCaps w:val="false"/>
          <w:color w:val="000000"/>
          <w:spacing w:val="0"/>
          <w:kern w:val="0"/>
          <w:sz w:val="28"/>
          <w:szCs w:val="28"/>
          <w:shd w:fill="auto" w:val="clear"/>
          <w:lang w:eastAsia="uk-UA"/>
        </w:rPr>
      </w:pPr>
      <w:r>
        <w:rPr/>
      </w:r>
    </w:p>
    <w:p>
      <w:pPr>
        <w:pStyle w:val="BodyText"/>
        <w:widowControl/>
        <w:pBdr/>
        <w:spacing w:before="0" w:after="150"/>
        <w:ind w:firstLine="450" w:start="0" w:end="0"/>
        <w:jc w:val="center"/>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3</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«Ключові енергетичні показники для виконання бенчмаркінгу»</w:t>
      </w:r>
    </w:p>
    <w:p>
      <w:pPr>
        <w:pStyle w:val="Normal"/>
        <w:spacing w:lineRule="auto" w:line="240" w:before="150" w:after="150"/>
        <w:ind w:start="450" w:end="450"/>
        <w:jc w:val="center"/>
        <w:rPr>
          <w:rFonts w:ascii="Times New Roman" w:hAnsi="Times New Roman" w:eastAsia="Times New Roman" w:cs="Times New Roman"/>
          <w:sz w:val="24"/>
          <w:szCs w:val="24"/>
          <w:lang w:val="uk-UA"/>
        </w:rPr>
      </w:pPr>
      <w:r>
        <w:rPr>
          <w:rFonts w:eastAsia="Times New Roman" w:cs="Times New Roman" w:ascii="Times New Roman" w:hAnsi="Times New Roman"/>
          <w:b/>
          <w:bCs/>
          <w:sz w:val="28"/>
          <w:szCs w:val="28"/>
          <w:lang w:val="uk-UA"/>
        </w:rPr>
        <w:t>МІНІМАЛЬНИЙ ПЕРЕЛІК</w:t>
        <w:br/>
        <w:t>ключових енергетичних показників для виконання бенчмаркінгу</w:t>
      </w:r>
    </w:p>
    <w:tbl>
      <w:tblPr>
        <w:tblW w:w="10319" w:type="dxa"/>
        <w:jc w:val="center"/>
        <w:tblInd w:w="0" w:type="dxa"/>
        <w:tblLayout w:type="fixed"/>
        <w:tblCellMar>
          <w:top w:w="55" w:type="dxa"/>
          <w:start w:w="55" w:type="dxa"/>
          <w:bottom w:w="55" w:type="dxa"/>
          <w:end w:w="55" w:type="dxa"/>
        </w:tblCellMar>
      </w:tblPr>
      <w:tblGrid>
        <w:gridCol w:w="1011"/>
        <w:gridCol w:w="5503"/>
        <w:gridCol w:w="1504"/>
        <w:gridCol w:w="2301"/>
      </w:tblGrid>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Ключові енергетичні показники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Одиниця вимірювання</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Значення</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Рік застосування показників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2024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Найменування області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Дніпропетровська</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Найменування територіальної громади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Покровська</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Характер рельєфу (вказати: рівнинний, горбистий, гірський)</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Рівнинний</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Чисельність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осіб</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Style20"/>
              <w:suppressAutoHyphens w:val="false"/>
              <w:kinsoku w:val="true"/>
              <w:overflowPunct w:val="true"/>
              <w:autoSpaceDE w:val="true"/>
              <w:bidi w:val="0"/>
              <w:spacing w:lineRule="auto" w:line="240"/>
              <w:jc w:val="center"/>
              <w:rPr>
                <w:rFonts w:ascii="Times New Roman" w:hAnsi="Times New Roman" w:eastAsia="Times New Roman" w:cs="Times New Roman"/>
                <w:color w:val="auto"/>
                <w:kern w:val="0"/>
                <w:sz w:val="22"/>
                <w:szCs w:val="22"/>
                <w:lang w:val="uk-UA" w:eastAsia="uk-UA" w:bidi="ar-SA"/>
              </w:rPr>
            </w:pPr>
            <w:r>
              <w:rPr>
                <w:rFonts w:eastAsia="Times New Roman" w:cs="Times New Roman" w:ascii="Times New Roman" w:hAnsi="Times New Roman"/>
                <w:color w:val="auto"/>
                <w:kern w:val="0"/>
                <w:sz w:val="22"/>
                <w:szCs w:val="22"/>
                <w:lang w:val="uk-UA" w:eastAsia="uk-UA" w:bidi="ar-SA"/>
              </w:rPr>
              <w:t>42192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Кількість домогосподарств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21808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Загальні дані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Питома кількість штатних одиниць структурного підрозділу енергоменеджменту (енергоменеджерів) на 10000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%00</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r>
              <w:rPr>
                <w:rFonts w:eastAsia="Times New Roman" w:cs="Times New Roman" w:ascii="Times New Roman" w:hAnsi="Times New Roman"/>
                <w:kern w:val="0"/>
                <w:sz w:val="22"/>
                <w:szCs w:val="22"/>
                <w:shd w:fill="auto" w:val="clear"/>
                <w:lang w:val="uk-UA" w:eastAsia="uk-UA" w:bidi="ar-SA"/>
              </w:rPr>
              <w:t>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Відношення витрат з місцевого бюджету на оплату комунальних послуг та енергоносіїв до фактичних поточних видатків місцевого бюджету,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7,7%</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5,9%</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водопостачання та водовідведення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0,1%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електроенергії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1,1%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природного газу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0,6%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інших енергоносіїв та інших комунальних послуг</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оплата енергосервісу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Загальне кінцеве споживання енергії на особу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кВт·год/ос.</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3113,1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1.4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відновлюваної енергії в загальному кінцевому споживанні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25</w:t>
            </w:r>
            <w:r>
              <w:rPr>
                <w:rFonts w:eastAsia="Times New Roman" w:cs="Times New Roman" w:ascii="Times New Roman" w:hAnsi="Times New Roman"/>
                <w:kern w:val="0"/>
                <w:sz w:val="22"/>
                <w:szCs w:val="22"/>
                <w:shd w:fill="auto" w:val="clear"/>
                <w:lang w:val="uk-UA" w:eastAsia="uk-UA" w:bidi="ar-SA"/>
              </w:rPr>
              <w:t>,8%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Громадські будівлі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shd w:fill="FFFF00" w:val="clear"/>
                <w:lang w:val="uk-UA"/>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Структура громадських будівель, що фінансуються з місцевого бюджету (за загальною площею),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дошкільної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24%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15%</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охорони здоров’я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43%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закладів соціального захисту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будівлі інших бюджетних установ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що фінансуються з місцевого бюджету, включених до системи енергетичного моніторингу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що фінансуються з місцевого бюджету, включених до системи автоматизованого збору інформації про споживання енергії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що фінансуються з місцевого бюджету, які мають дійсний енергетичний сертифікат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rHeight w:val="546" w:hRule="atLeast"/>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термомодернізованих громадських будівель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15</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з близьким до нульового рівня енергоспоживанням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rHeight w:val="793" w:hRule="atLeast"/>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енергоспоживання при опаленні громадських будівель, що фінансуються з місцевого бюджету,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40,8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дошкільної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111,5</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охорони здоров’я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6,8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соціального захисту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52,0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інших бюджетних установ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2.8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споживання електроенергії в громадських будівлях, що фінансуються з місцевого бюджету,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дошкільної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16,6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освіти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охорони здоров’я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11,3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закладів соціального захисту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інших бюджетних установ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11,6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Житлові будівлі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shd w:fill="auto" w:val="clear"/>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FF4000"/>
                <w:lang w:val="uk-UA"/>
              </w:rPr>
            </w:pPr>
            <w:r>
              <w:rPr>
                <w:shd w:fill="auto" w:val="clear"/>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домогосподарств у багатоквартирних будинках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житлових будівель (за загальною площею),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одноквартирні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31,3%</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двоквартирні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багатоквартирні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67,4%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для колективного проживання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енергоспоживання на опалення житлових будівель,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76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одноквартирні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двоквартирні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77</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багатоквартирні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w:t>
            </w:r>
            <w:r>
              <w:rPr>
                <w:rFonts w:eastAsia="Times New Roman" w:cs="Times New Roman" w:ascii="Times New Roman" w:hAnsi="Times New Roman"/>
                <w:color w:val="000000"/>
                <w:kern w:val="0"/>
                <w:sz w:val="22"/>
                <w:szCs w:val="22"/>
                <w:shd w:fill="auto" w:val="clear"/>
                <w:lang w:val="uk-UA" w:eastAsia="uk-UA" w:bidi="ar-SA"/>
              </w:rPr>
              <w:t>72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для колективного проживання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фактичне споживання електроенергії в житлових будівлях,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одноквартирні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двоквартирні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107</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багатоквартирні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будівлі для колективного проживання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кВт·год/м-2</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3.5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житлових будівель з близьким до нульового рівня енергоспоживанням (за загальною площею)</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2,0%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Зовнішнє освітлення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shd w:fill="FFFF00" w:val="clear"/>
                <w:lang w:val="uk-UA"/>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системи зовнішнього освітлення (за кількістю світлоточок),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89,0%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2,2%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непрацюючих світлоточок,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rHeight w:val="300" w:hRule="atLeast"/>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Питома електрична потужність однієї працюючої світлоточки,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50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Вт/од.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річне споживання електричної енергії на роботу однієї працюючої світлоточки,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87,1</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дорогах поза меж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вулицях, дорогах, площах в межах населених пунктів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85</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паркових зонах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88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в інших зонах, ділянках, територіях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кВт·год/од.</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4.5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світлоточок оснащених світлодіодними джерелами світла (за загальною кількістю працюючих і непрацюючих світлоточок)</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99%</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Сфера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shd w:fill="FFFF00" w:val="clear"/>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централізованого теплопостачання (за опалюваною площею будівель)</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домогосподарств, приєднаних до систем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теплової енергії, виробленої з відновлюваних джерел енергії в системах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теплової енергії, виробленої з використанням скидної теплової енергії в системах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теплової енергії, виробленої в результаті комбінованого виробництва теплової та електричної енергії в системах централізованого теплопостачання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Питомі витрати умовного палива на виробництво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кг у.п./Гкал</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Питомі витрати електроенергії при виробництві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кВт·год/Гкал</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Питомі витрати електроенергії на транспортування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кВт·год/Гкал</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5.9</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втрати теплової енергії в теплових мережах</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5.10</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індивідуальними тепловими пунктами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вузлами комерційного обліку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вузлами комерційного обліку послуги з постачання гарячої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багатоквартирних будинків, які приєднані до систем централізованого теплопостачання, оснащених вузлами розподільного обліку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які приєднані до систем централізованого теплопостачання, оснащених індивідуальними тепловими пунктами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5.15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громадських будівель, які приєднані до систем централізованого теплопостачання, оснащених вузлами комерційного обліку теплової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Сфера водопостачання і водовідведення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системи питного водопостачання (за чисельністю населення),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90</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нецентралізованого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споживання електричної енергії на функціонування системи централізованого водопостачання,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b w:val="false"/>
                <w:bCs w:val="false"/>
                <w:color w:val="000000"/>
                <w:kern w:val="0"/>
                <w:sz w:val="22"/>
                <w:szCs w:val="22"/>
                <w:shd w:fill="auto" w:val="clear"/>
                <w:lang w:val="uk-UA" w:eastAsia="uk-UA" w:bidi="ar-SA"/>
              </w:rPr>
              <w:t>1,</w:t>
            </w:r>
            <w:r>
              <w:rPr>
                <w:rFonts w:eastAsia="Times New Roman" w:cs="Times New Roman" w:ascii="Times New Roman" w:hAnsi="Times New Roman"/>
                <w:b w:val="false"/>
                <w:bCs w:val="false"/>
                <w:color w:val="000000"/>
                <w:kern w:val="0"/>
                <w:sz w:val="22"/>
                <w:szCs w:val="22"/>
                <w:shd w:fill="auto" w:val="clear"/>
                <w:lang w:val="uk-UA" w:eastAsia="uk-UA" w:bidi="ar-SA"/>
              </w:rPr>
              <w:t>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виробництво (забір і фільтрацію)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r>
              <w:rPr>
                <w:rFonts w:eastAsia="Times New Roman" w:cs="Times New Roman" w:ascii="Times New Roman" w:hAnsi="Times New Roman"/>
                <w:color w:val="000000"/>
                <w:kern w:val="0"/>
                <w:sz w:val="22"/>
                <w:szCs w:val="22"/>
                <w:shd w:fill="auto" w:val="clear"/>
                <w:lang w:val="uk-UA" w:eastAsia="uk-UA" w:bidi="ar-SA"/>
              </w:rPr>
              <w:t>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на транспортування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b w:val="false"/>
                <w:bCs w:val="false"/>
                <w:i w:val="false"/>
                <w:iCs w:val="false"/>
                <w:color w:val="000000"/>
                <w:kern w:val="0"/>
                <w:sz w:val="22"/>
                <w:szCs w:val="22"/>
                <w:shd w:fill="auto" w:val="clear"/>
                <w:lang w:val="uk-UA" w:eastAsia="uk-UA" w:bidi="ar-SA"/>
              </w:rPr>
              <w:t>0,</w:t>
            </w:r>
            <w:r>
              <w:rPr>
                <w:rFonts w:eastAsia="Times New Roman" w:cs="Times New Roman" w:ascii="Times New Roman" w:hAnsi="Times New Roman"/>
                <w:b w:val="false"/>
                <w:bCs w:val="false"/>
                <w:i w:val="false"/>
                <w:iCs w:val="false"/>
                <w:color w:val="000000"/>
                <w:kern w:val="0"/>
                <w:sz w:val="22"/>
                <w:szCs w:val="22"/>
                <w:shd w:fill="auto" w:val="clear"/>
                <w:lang w:val="uk-UA" w:eastAsia="uk-UA" w:bidi="ar-SA"/>
              </w:rPr>
              <w:t>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Лінійний коефіцієнт втрат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тис.м-3/км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0,8</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виробничих витрат води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втрат води в мережах централізованого водопостачання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19</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Структура системи водовідведення (за чисельністю населення),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100,0%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нецентралізованого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Питоме споживання електричної енергії на функціонування системи централізованого водовідведення,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w:t>
            </w:r>
            <w:r>
              <w:rPr>
                <w:rFonts w:eastAsia="Times New Roman" w:cs="Times New Roman" w:ascii="Times New Roman" w:hAnsi="Times New Roman"/>
                <w:color w:val="000000"/>
                <w:kern w:val="0"/>
                <w:sz w:val="22"/>
                <w:szCs w:val="22"/>
                <w:shd w:fill="auto" w:val="clear"/>
                <w:lang w:val="uk-UA" w:eastAsia="uk-UA" w:bidi="ar-SA"/>
              </w:rPr>
              <w:t>,</w:t>
            </w:r>
            <w:r>
              <w:rPr>
                <w:rFonts w:eastAsia="Times New Roman" w:cs="Times New Roman" w:ascii="Times New Roman" w:hAnsi="Times New Roman"/>
                <w:color w:val="000000"/>
                <w:kern w:val="0"/>
                <w:sz w:val="22"/>
                <w:szCs w:val="22"/>
                <w:shd w:fill="auto" w:val="clear"/>
                <w:lang w:val="uk-UA" w:eastAsia="uk-UA" w:bidi="ar-SA"/>
              </w:rPr>
              <w:t>6</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 збирання та транспортування стічних вод</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0,2</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на очищення та скидання стічних вод</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1,4</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утилізації осадів стічних вод (за об’ємом в абсолютно сухій речовині)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 </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6.9</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теплової енергії на одиницю об’єму (в абсолютно сухій речовині) осадів стічних вод</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6.10</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електричної енергії на одиницю об’єму осадів стічних вод в абсолютно сухій речовині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кВт·год/м-3</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Сфера управління побутовими відходами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shd w:fill="auto" w:val="clear"/>
              </w:rPr>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Частка населення, охоплена послугами з вивезення побутових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98</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роздільно зібраних побутових відходів (за вагою від зібраних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рецикльованих (перероблених) побутових відходів (за вагою від зібраних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перероблених та утилізованих відходів,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спалено (термічно оброблено)</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потрапило на заготівельні пункти вторинної сировини та сміттєпереробні лінії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відновлених побутових відходів (за вагою від зібраних відходів),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 виробництвом теплової та/або електричної енергії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з виробництвом біогазу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теплової енергії на одиницю ваги термічно оброблених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МДж/т</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7.7</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спалювання природного газу на одиницю ваги термічно оброблених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МДж/т</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7.8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Питомий обсяг виробництва електричної енергії на одиницю ваги термічно оброблених відходів</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МДж/т</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 xml:space="preserve"> </w:t>
            </w:r>
            <w:r>
              <w:rPr>
                <w:rFonts w:eastAsia="Times New Roman" w:cs="Times New Roman" w:ascii="Times New Roman" w:hAnsi="Times New Roman"/>
                <w:color w:val="000000"/>
                <w:kern w:val="0"/>
                <w:sz w:val="22"/>
                <w:szCs w:val="22"/>
                <w:shd w:fill="auto" w:val="clear"/>
                <w:lang w:val="uk-UA" w:eastAsia="uk-UA" w:bidi="ar-SA"/>
              </w:rPr>
              <w:t>-</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Громадський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FF4000"/>
                <w:lang w:val="uk-UA"/>
              </w:rPr>
            </w:pPr>
            <w:r>
              <w:rPr>
                <w:rFonts w:eastAsia="Times New Roman" w:cs="Times New Roman" w:ascii="Times New Roman" w:hAnsi="Times New Roman"/>
                <w:color w:val="FF4000"/>
                <w:kern w:val="0"/>
                <w:sz w:val="22"/>
                <w:szCs w:val="22"/>
                <w:shd w:fill="auto" w:val="clear"/>
                <w:lang w:val="uk-UA" w:eastAsia="uk-UA" w:bidi="ar-SA"/>
              </w:rPr>
              <w:t> </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8.1</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транспортом на душу населення</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МДж/ос.</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8.2</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транспортом на одиницю пасажирообігу</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8.3</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пасажирообігу громадського нерейкового транспорту,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тролейбуси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електроавтобуси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8.4</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нерейковим транспортом,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тролейбуси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електроавтобуси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автобуси</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8.5</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Частка пасажирообігу громадського рейкового транспорту,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метрополітен</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трамваї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неелектричний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8.6</w:t>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Питоме споживання енергії громадським рейковим транспортом, всього, у тому числі:</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метрополітен</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трамваї</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w:t>
            </w:r>
          </w:p>
        </w:tc>
      </w:tr>
      <w:tr>
        <w:trPr/>
        <w:tc>
          <w:tcPr>
            <w:tcW w:w="101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lang w:val="uk-UA"/>
              </w:rPr>
            </w:r>
          </w:p>
        </w:tc>
        <w:tc>
          <w:tcPr>
            <w:tcW w:w="550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start"/>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інший неелектричний рейковий транспорт</w:t>
            </w:r>
          </w:p>
        </w:tc>
        <w:tc>
          <w:tcPr>
            <w:tcW w:w="150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0"/>
              <w:jc w:val="center"/>
              <w:rPr>
                <w:rFonts w:ascii="Times New Roman" w:hAnsi="Times New Roman" w:eastAsia="Times New Roman" w:cs="Times New Roman"/>
                <w:lang w:val="uk-UA"/>
              </w:rPr>
            </w:pPr>
            <w:r>
              <w:rPr>
                <w:rFonts w:eastAsia="Times New Roman" w:cs="Times New Roman" w:ascii="Times New Roman" w:hAnsi="Times New Roman"/>
                <w:kern w:val="0"/>
                <w:sz w:val="22"/>
                <w:szCs w:val="22"/>
                <w:lang w:val="uk-UA" w:eastAsia="uk-UA" w:bidi="ar-SA"/>
              </w:rPr>
              <w:t>МДж/(пас·км)</w:t>
            </w:r>
          </w:p>
        </w:tc>
        <w:tc>
          <w:tcPr>
            <w:tcW w:w="230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val="false"/>
              <w:suppressAutoHyphens w:val="true"/>
              <w:spacing w:lineRule="auto" w:line="276" w:before="0" w:after="200"/>
              <w:jc w:val="center"/>
              <w:rPr>
                <w:rFonts w:ascii="Times New Roman" w:hAnsi="Times New Roman" w:eastAsia="Times New Roman" w:cs="Times New Roman"/>
                <w:color w:val="000000"/>
                <w:lang w:val="uk-UA"/>
              </w:rPr>
            </w:pPr>
            <w:r>
              <w:rPr>
                <w:rFonts w:eastAsia="Times New Roman" w:cs="Times New Roman" w:ascii="Times New Roman" w:hAnsi="Times New Roman"/>
                <w:color w:val="000000"/>
                <w:kern w:val="0"/>
                <w:sz w:val="22"/>
                <w:szCs w:val="22"/>
                <w:shd w:fill="auto" w:val="clear"/>
                <w:lang w:val="uk-UA" w:eastAsia="uk-UA" w:bidi="ar-SA"/>
              </w:rPr>
              <w:t>0,00%</w:t>
            </w:r>
          </w:p>
        </w:tc>
      </w:tr>
    </w:tbl>
    <w:p>
      <w:pPr>
        <w:pStyle w:val="Normal"/>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333333"/>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bookmarkStart w:id="55" w:name="n452"/>
      <w:bookmarkEnd w:id="55"/>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4</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«Вихідні дані, що використовувалися для розроблення муніципального енергетичного плану»</w:t>
      </w:r>
    </w:p>
    <w:p>
      <w:pPr>
        <w:pStyle w:val="Normal"/>
        <w:numPr>
          <w:ilvl w:val="0"/>
          <w:numId w:val="3"/>
        </w:numPr>
        <w:tabs>
          <w:tab w:val="clear" w:pos="709"/>
          <w:tab w:val="left" w:pos="426" w:leader="none"/>
        </w:tabs>
        <w:spacing w:before="0" w:after="0"/>
        <w:ind w:hanging="0" w:start="0"/>
        <w:jc w:val="both"/>
        <w:rPr>
          <w:lang w:val="uk-UA"/>
        </w:rPr>
      </w:pPr>
      <w:hyperlink r:id="rId59">
        <w:r>
          <w:rPr>
            <w:rStyle w:val="Style5"/>
            <w:rFonts w:eastAsia="Times New Roman" w:cs="Times New Roman" w:ascii="Times New Roman" w:hAnsi="Times New Roman"/>
            <w:color w:val="000000"/>
            <w:sz w:val="26"/>
            <w:szCs w:val="26"/>
            <w:u w:val="single"/>
            <w:lang w:val="uk-UA"/>
          </w:rPr>
          <w:t>https://zakon.rada.gov.ua/</w:t>
        </w:r>
      </w:hyperlink>
      <w:r>
        <w:rPr>
          <w:rFonts w:eastAsia="Times New Roman" w:cs="Times New Roman" w:ascii="Times New Roman" w:hAnsi="Times New Roman"/>
          <w:color w:val="000000"/>
          <w:sz w:val="26"/>
          <w:szCs w:val="26"/>
          <w:lang w:val="uk-UA"/>
        </w:rPr>
        <w:t xml:space="preserve"> – веб-сайт Верховної Ради України;</w:t>
      </w:r>
    </w:p>
    <w:p>
      <w:pPr>
        <w:pStyle w:val="Normal"/>
        <w:numPr>
          <w:ilvl w:val="0"/>
          <w:numId w:val="3"/>
        </w:numPr>
        <w:tabs>
          <w:tab w:val="clear" w:pos="709"/>
          <w:tab w:val="left" w:pos="426" w:leader="none"/>
        </w:tabs>
        <w:spacing w:before="0" w:after="0"/>
        <w:ind w:hanging="0" w:start="0"/>
        <w:jc w:val="both"/>
        <w:rPr>
          <w:lang w:val="uk-UA"/>
        </w:rPr>
      </w:pPr>
      <w:hyperlink r:id="rId60">
        <w:r>
          <w:rPr>
            <w:rStyle w:val="Style5"/>
            <w:rFonts w:eastAsia="Times New Roman" w:cs="Times New Roman" w:ascii="Times New Roman" w:hAnsi="Times New Roman"/>
            <w:color w:val="000000"/>
            <w:sz w:val="26"/>
            <w:szCs w:val="26"/>
            <w:u w:val="single"/>
            <w:lang w:val="uk-UA"/>
          </w:rPr>
          <w:t>https://www.kmu.gov.ua/</w:t>
        </w:r>
      </w:hyperlink>
      <w:r>
        <w:rPr>
          <w:rFonts w:eastAsia="Times New Roman" w:cs="Times New Roman" w:ascii="Times New Roman" w:hAnsi="Times New Roman"/>
          <w:color w:val="000000"/>
          <w:sz w:val="26"/>
          <w:szCs w:val="26"/>
          <w:lang w:val="uk-UA"/>
        </w:rPr>
        <w:t xml:space="preserve"> – веб-сайт Кабінету Міністрів України;</w:t>
      </w:r>
    </w:p>
    <w:p>
      <w:pPr>
        <w:pStyle w:val="Normal"/>
        <w:numPr>
          <w:ilvl w:val="0"/>
          <w:numId w:val="3"/>
        </w:numPr>
        <w:tabs>
          <w:tab w:val="clear" w:pos="709"/>
          <w:tab w:val="left" w:pos="426" w:leader="none"/>
        </w:tabs>
        <w:spacing w:before="0" w:after="0"/>
        <w:ind w:hanging="0" w:start="0"/>
        <w:jc w:val="both"/>
        <w:rPr>
          <w:lang w:val="uk-UA"/>
        </w:rPr>
      </w:pPr>
      <w:hyperlink r:id="rId61">
        <w:r>
          <w:rPr>
            <w:rStyle w:val="Style5"/>
            <w:rFonts w:eastAsia="Times New Roman" w:cs="Times New Roman" w:ascii="Times New Roman" w:hAnsi="Times New Roman"/>
            <w:color w:val="000000"/>
            <w:sz w:val="26"/>
            <w:szCs w:val="26"/>
            <w:u w:val="single"/>
            <w:lang w:val="uk-UA"/>
          </w:rPr>
          <w:t>https://minfin.com.ua/</w:t>
        </w:r>
      </w:hyperlink>
      <w:r>
        <w:rPr>
          <w:rFonts w:eastAsia="Times New Roman" w:cs="Times New Roman" w:ascii="Times New Roman" w:hAnsi="Times New Roman"/>
          <w:color w:val="000000"/>
          <w:sz w:val="26"/>
          <w:szCs w:val="26"/>
          <w:lang w:val="uk-UA"/>
        </w:rPr>
        <w:t xml:space="preserve"> – веб-сайт Мінфіну;</w:t>
      </w:r>
    </w:p>
    <w:p>
      <w:pPr>
        <w:pStyle w:val="Normal"/>
        <w:numPr>
          <w:ilvl w:val="0"/>
          <w:numId w:val="3"/>
        </w:numPr>
        <w:tabs>
          <w:tab w:val="clear" w:pos="709"/>
          <w:tab w:val="left" w:pos="426" w:leader="none"/>
        </w:tabs>
        <w:spacing w:before="0" w:after="0"/>
        <w:ind w:hanging="0" w:start="0"/>
        <w:jc w:val="both"/>
        <w:rPr>
          <w:lang w:val="uk-UA"/>
        </w:rPr>
      </w:pPr>
      <w:hyperlink r:id="rId62">
        <w:r>
          <w:rPr>
            <w:rStyle w:val="Style5"/>
            <w:rFonts w:eastAsia="Times New Roman" w:cs="Times New Roman" w:ascii="Times New Roman" w:hAnsi="Times New Roman"/>
            <w:color w:val="000000"/>
            <w:sz w:val="26"/>
            <w:szCs w:val="26"/>
            <w:u w:val="single"/>
            <w:lang w:val="uk-UA"/>
          </w:rPr>
          <w:t>https://saee.gov.ua/</w:t>
        </w:r>
      </w:hyperlink>
      <w:r>
        <w:rPr>
          <w:rFonts w:eastAsia="Times New Roman" w:cs="Times New Roman" w:ascii="Times New Roman" w:hAnsi="Times New Roman"/>
          <w:color w:val="000000"/>
          <w:sz w:val="26"/>
          <w:szCs w:val="26"/>
          <w:lang w:val="uk-UA"/>
        </w:rPr>
        <w:t xml:space="preserve"> – веб-сайт Держенергоефективності;</w:t>
      </w:r>
    </w:p>
    <w:p>
      <w:pPr>
        <w:pStyle w:val="Normal"/>
        <w:numPr>
          <w:ilvl w:val="0"/>
          <w:numId w:val="3"/>
        </w:numPr>
        <w:tabs>
          <w:tab w:val="clear" w:pos="709"/>
          <w:tab w:val="left" w:pos="426" w:leader="none"/>
        </w:tabs>
        <w:spacing w:before="0" w:after="0"/>
        <w:ind w:hanging="0" w:start="0"/>
        <w:jc w:val="both"/>
        <w:rPr>
          <w:lang w:val="uk-UA"/>
        </w:rPr>
      </w:pPr>
      <w:hyperlink r:id="rId63">
        <w:r>
          <w:rPr>
            <w:rStyle w:val="Style5"/>
            <w:rFonts w:eastAsia="Times New Roman" w:cs="Times New Roman" w:ascii="Times New Roman" w:hAnsi="Times New Roman"/>
            <w:color w:val="000000"/>
            <w:sz w:val="26"/>
            <w:szCs w:val="26"/>
            <w:u w:val="single"/>
            <w:lang w:val="uk-UA"/>
          </w:rPr>
          <w:t>https://www.nerc.gov.ua/</w:t>
        </w:r>
      </w:hyperlink>
      <w:r>
        <w:rPr>
          <w:rFonts w:eastAsia="Times New Roman" w:cs="Times New Roman" w:ascii="Times New Roman" w:hAnsi="Times New Roman"/>
          <w:color w:val="000000"/>
          <w:sz w:val="26"/>
          <w:szCs w:val="26"/>
          <w:lang w:val="uk-UA"/>
        </w:rPr>
        <w:t xml:space="preserve"> – веб-сайт НКРЕКП;</w:t>
      </w:r>
    </w:p>
    <w:p>
      <w:pPr>
        <w:pStyle w:val="Normal"/>
        <w:numPr>
          <w:ilvl w:val="0"/>
          <w:numId w:val="3"/>
        </w:numPr>
        <w:tabs>
          <w:tab w:val="clear" w:pos="709"/>
          <w:tab w:val="left" w:pos="426" w:leader="none"/>
        </w:tabs>
        <w:spacing w:before="0" w:after="0"/>
        <w:ind w:hanging="0" w:start="0"/>
        <w:jc w:val="both"/>
        <w:rPr>
          <w:lang w:val="uk-UA"/>
        </w:rPr>
      </w:pPr>
      <w:hyperlink r:id="rId64">
        <w:r>
          <w:rPr>
            <w:rStyle w:val="Style5"/>
            <w:rFonts w:eastAsia="Times New Roman" w:cs="Times New Roman" w:ascii="Times New Roman" w:hAnsi="Times New Roman"/>
            <w:color w:val="000000"/>
            <w:sz w:val="26"/>
            <w:szCs w:val="26"/>
            <w:u w:val="single"/>
            <w:lang w:val="uk-UA"/>
          </w:rPr>
          <w:t>https://com-east.eu/</w:t>
        </w:r>
      </w:hyperlink>
      <w:r>
        <w:rPr>
          <w:rFonts w:eastAsia="Times New Roman" w:cs="Times New Roman" w:ascii="Times New Roman" w:hAnsi="Times New Roman"/>
          <w:color w:val="000000"/>
          <w:sz w:val="26"/>
          <w:szCs w:val="26"/>
          <w:lang w:val="uk-UA"/>
        </w:rPr>
        <w:t xml:space="preserve"> – веб-сайт Угоди мерів; </w:t>
      </w:r>
    </w:p>
    <w:p>
      <w:pPr>
        <w:pStyle w:val="Normal"/>
        <w:numPr>
          <w:ilvl w:val="0"/>
          <w:numId w:val="3"/>
        </w:numPr>
        <w:tabs>
          <w:tab w:val="clear" w:pos="709"/>
          <w:tab w:val="left" w:pos="426" w:leader="none"/>
        </w:tabs>
        <w:spacing w:before="0" w:after="0"/>
        <w:ind w:hanging="0" w:start="0"/>
        <w:jc w:val="both"/>
        <w:rPr>
          <w:lang w:val="uk-UA"/>
        </w:rPr>
      </w:pPr>
      <w:hyperlink r:id="rId65">
        <w:r>
          <w:rPr>
            <w:rStyle w:val="Style5"/>
            <w:rFonts w:ascii="Times New Roman" w:hAnsi="Times New Roman"/>
            <w:color w:val="000000"/>
            <w:sz w:val="26"/>
            <w:szCs w:val="26"/>
            <w:u w:val="single"/>
            <w:lang w:val="uk-UA"/>
          </w:rPr>
          <w:t>https://adm.dp.gov.ua</w:t>
        </w:r>
      </w:hyperlink>
      <w:r>
        <w:rPr>
          <w:rFonts w:ascii="Times New Roman" w:hAnsi="Times New Roman"/>
          <w:color w:val="000000"/>
          <w:sz w:val="26"/>
          <w:szCs w:val="26"/>
          <w:lang w:val="uk-UA"/>
        </w:rPr>
        <w:t xml:space="preserve">  </w:t>
      </w:r>
      <w:r>
        <w:rPr>
          <w:rFonts w:eastAsia="Times New Roman" w:cs="Times New Roman" w:ascii="Times New Roman" w:hAnsi="Times New Roman"/>
          <w:color w:val="000000"/>
          <w:sz w:val="26"/>
          <w:szCs w:val="26"/>
          <w:lang w:val="uk-UA"/>
        </w:rPr>
        <w:t>– веб-сайт Дніпропетровської ОДА;</w:t>
      </w:r>
    </w:p>
    <w:p>
      <w:pPr>
        <w:pStyle w:val="Normal"/>
        <w:numPr>
          <w:ilvl w:val="0"/>
          <w:numId w:val="3"/>
        </w:numPr>
        <w:tabs>
          <w:tab w:val="clear" w:pos="709"/>
          <w:tab w:val="left" w:pos="426"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https://pkrv.dp.gov.ua/ – веб-сайт </w:t>
      </w:r>
      <w:r>
        <w:rPr>
          <w:rFonts w:eastAsia="Times New Roman" w:cs="Times New Roman" w:ascii="Times New Roman" w:hAnsi="Times New Roman"/>
          <w:color w:val="000000"/>
          <w:sz w:val="26"/>
          <w:szCs w:val="26"/>
          <w:shd w:fill="auto" w:val="clear"/>
          <w:lang w:val="uk-UA"/>
        </w:rPr>
        <w:t xml:space="preserve">Покровської </w:t>
      </w:r>
      <w:r>
        <w:rPr>
          <w:rFonts w:eastAsia="Times New Roman" w:cs="Times New Roman" w:ascii="Times New Roman" w:hAnsi="Times New Roman"/>
          <w:color w:val="000000"/>
          <w:sz w:val="26"/>
          <w:szCs w:val="26"/>
          <w:shd w:fill="auto" w:val="clear"/>
          <w:lang w:val="uk-UA"/>
        </w:rPr>
        <w:t xml:space="preserve">міської ради </w:t>
      </w:r>
      <w:r>
        <w:rPr>
          <w:rFonts w:eastAsia="Times New Roman" w:cs="Times New Roman" w:ascii="Times New Roman" w:hAnsi="Times New Roman"/>
          <w:color w:val="000000"/>
          <w:sz w:val="26"/>
          <w:szCs w:val="26"/>
          <w:shd w:fill="auto" w:val="clear"/>
          <w:lang w:val="uk-UA"/>
        </w:rPr>
        <w:t>Дніпропетровської області</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hyperlink r:id="rId66">
        <w:r>
          <w:rPr>
            <w:rStyle w:val="Style5"/>
            <w:rFonts w:ascii="Times New Roman" w:hAnsi="Times New Roman"/>
            <w:color w:val="000000"/>
            <w:sz w:val="26"/>
            <w:szCs w:val="26"/>
            <w:u w:val="single"/>
            <w:shd w:fill="auto" w:val="clear"/>
            <w:lang w:val="uk-UA"/>
          </w:rPr>
          <w:t>https://join.dtek.com/ua/krivorizka-tes/</w:t>
        </w:r>
      </w:hyperlink>
      <w:r>
        <w:rPr>
          <w:rFonts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 веб-сайт ДТЕК Д</w:t>
      </w:r>
      <w:r>
        <w:rPr>
          <w:rFonts w:eastAsia="Times New Roman" w:cs="Times New Roman" w:ascii="Times New Roman" w:hAnsi="Times New Roman"/>
          <w:color w:val="000000"/>
          <w:sz w:val="26"/>
          <w:szCs w:val="26"/>
          <w:shd w:fill="auto" w:val="clear"/>
          <w:lang w:val="uk-UA"/>
        </w:rPr>
        <w:t>ніпровські електромережі</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hyperlink r:id="rId67">
        <w:r>
          <w:rPr>
            <w:rStyle w:val="Hyperlink"/>
          </w:rPr>
          <w:t>https://pokrovvodokanal.net/</w:t>
        </w:r>
      </w:hyperlink>
      <w:r>
        <w:rPr>
          <w:rFonts w:eastAsia="Times New Roman" w:cs="Times New Roman" w:ascii="Times New Roman" w:hAnsi="Times New Roman"/>
          <w:color w:val="000000"/>
          <w:sz w:val="26"/>
          <w:szCs w:val="26"/>
          <w:shd w:fill="auto" w:val="clear"/>
          <w:lang w:val="uk-UA"/>
        </w:rPr>
        <w:t xml:space="preserve"> – веб-сайт </w:t>
      </w:r>
      <w:r>
        <w:rPr>
          <w:rFonts w:eastAsia="Times New Roman" w:cs="Times New Roman" w:ascii="Times New Roman" w:hAnsi="Times New Roman"/>
          <w:color w:val="000000"/>
          <w:sz w:val="26"/>
          <w:szCs w:val="26"/>
          <w:shd w:fill="auto" w:val="clear"/>
          <w:lang w:val="uk-UA"/>
        </w:rPr>
        <w:t>М</w:t>
      </w:r>
      <w:r>
        <w:rPr>
          <w:rFonts w:eastAsia="Times New Roman" w:cs="Times New Roman" w:ascii="Times New Roman" w:hAnsi="Times New Roman"/>
          <w:color w:val="000000"/>
          <w:sz w:val="26"/>
          <w:szCs w:val="26"/>
          <w:shd w:fill="auto" w:val="clear"/>
          <w:lang w:val="uk-UA"/>
        </w:rPr>
        <w:t>КП «</w:t>
      </w:r>
      <w:r>
        <w:rPr>
          <w:rFonts w:eastAsia="Times New Roman" w:cs="Times New Roman" w:ascii="Times New Roman" w:hAnsi="Times New Roman"/>
          <w:color w:val="000000"/>
          <w:sz w:val="26"/>
          <w:szCs w:val="26"/>
          <w:shd w:fill="auto" w:val="clear"/>
          <w:lang w:val="uk-UA"/>
        </w:rPr>
        <w:t>ПОКРОВВОДОКАНАЛ</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FFFFFF" w:val="clear"/>
          <w:lang w:val="uk-UA"/>
        </w:rPr>
        <w:t xml:space="preserve">Стратегія розвитку Дніпропетровської області на період до 2027 року, </w:t>
      </w:r>
      <w:r>
        <w:rPr>
          <w:rFonts w:eastAsia="Times New Roman" w:cs="Times New Roman" w:ascii="Times New Roman" w:hAnsi="Times New Roman"/>
          <w:color w:val="000000"/>
          <w:sz w:val="26"/>
          <w:szCs w:val="26"/>
          <w:shd w:fill="auto" w:val="clear"/>
          <w:lang w:val="uk-UA"/>
        </w:rPr>
        <w:t xml:space="preserve">затверджена рішенням Дніпропетровської обласної ради від 07 серпня 2020 року № 624-24/VII (із змінами); </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FFFFFF" w:val="clear"/>
          <w:lang w:val="uk-UA"/>
        </w:rPr>
        <w:t>С</w:t>
      </w:r>
      <w:r>
        <w:rPr>
          <w:rFonts w:eastAsia="Times New Roman" w:cs="Times New Roman" w:ascii="Times New Roman" w:hAnsi="Times New Roman"/>
          <w:color w:val="000000"/>
          <w:sz w:val="26"/>
          <w:szCs w:val="26"/>
          <w:lang w:val="uk-UA"/>
        </w:rPr>
        <w:t xml:space="preserve">тратегія </w:t>
      </w:r>
      <w:r>
        <w:rPr>
          <w:rFonts w:eastAsia="Times New Roman" w:cs="Times New Roman" w:ascii="Times New Roman" w:hAnsi="Times New Roman"/>
          <w:color w:val="000000"/>
          <w:sz w:val="26"/>
          <w:szCs w:val="26"/>
          <w:lang w:val="uk-UA"/>
        </w:rPr>
        <w:t>Покровської</w:t>
      </w:r>
      <w:r>
        <w:rPr>
          <w:rFonts w:eastAsia="Times New Roman" w:cs="Times New Roman" w:ascii="Times New Roman" w:hAnsi="Times New Roman"/>
          <w:color w:val="000000"/>
          <w:sz w:val="26"/>
          <w:szCs w:val="26"/>
          <w:shd w:fill="auto" w:val="clear"/>
          <w:lang w:val="uk-UA"/>
        </w:rPr>
        <w:t xml:space="preserve"> міської територіальної громади </w:t>
      </w:r>
      <w:r>
        <w:rPr>
          <w:rFonts w:eastAsia="Times New Roman" w:cs="Times New Roman" w:ascii="Times New Roman" w:hAnsi="Times New Roman"/>
          <w:color w:val="000000"/>
          <w:sz w:val="26"/>
          <w:szCs w:val="26"/>
          <w:shd w:fill="auto" w:val="clear"/>
          <w:lang w:val="uk-UA"/>
        </w:rPr>
        <w:t xml:space="preserve">Дніпропетровської області </w:t>
      </w:r>
      <w:r>
        <w:rPr>
          <w:rFonts w:eastAsia="Times New Roman" w:cs="Times New Roman" w:ascii="Times New Roman" w:hAnsi="Times New Roman"/>
          <w:color w:val="000000"/>
          <w:sz w:val="26"/>
          <w:szCs w:val="26"/>
          <w:shd w:fill="auto" w:val="clear"/>
          <w:lang w:val="uk-UA"/>
        </w:rPr>
        <w:t>на період</w:t>
      </w:r>
      <w:r>
        <w:rPr>
          <w:rFonts w:eastAsia="Times New Roman" w:cs="Times New Roman" w:ascii="Times New Roman" w:hAnsi="Times New Roman"/>
          <w:color w:val="000000"/>
          <w:sz w:val="26"/>
          <w:szCs w:val="26"/>
          <w:shd w:fill="auto" w:val="clear"/>
          <w:lang w:val="uk-UA"/>
        </w:rPr>
        <w:t xml:space="preserve"> до 20</w:t>
      </w:r>
      <w:r>
        <w:rPr>
          <w:rFonts w:eastAsia="Times New Roman" w:cs="Times New Roman" w:ascii="Times New Roman" w:hAnsi="Times New Roman"/>
          <w:color w:val="000000"/>
          <w:sz w:val="26"/>
          <w:szCs w:val="26"/>
          <w:shd w:fill="auto" w:val="clear"/>
          <w:lang w:val="uk-UA"/>
        </w:rPr>
        <w:t>27</w:t>
      </w:r>
      <w:r>
        <w:rPr>
          <w:rFonts w:eastAsia="Times New Roman" w:cs="Times New Roman" w:ascii="Times New Roman" w:hAnsi="Times New Roman"/>
          <w:color w:val="000000"/>
          <w:sz w:val="26"/>
          <w:szCs w:val="26"/>
          <w:shd w:fill="auto" w:val="clear"/>
          <w:lang w:val="uk-UA"/>
        </w:rPr>
        <w:t xml:space="preserve"> року, затверджена рішенням </w:t>
      </w:r>
      <w:r>
        <w:rPr>
          <w:rFonts w:eastAsia="Times New Roman" w:cs="Times New Roman" w:ascii="Times New Roman" w:hAnsi="Times New Roman"/>
          <w:color w:val="000000"/>
          <w:sz w:val="26"/>
          <w:szCs w:val="26"/>
          <w:shd w:fill="auto" w:val="clear"/>
          <w:lang w:val="uk-UA"/>
        </w:rPr>
        <w:t>Покровської</w:t>
      </w:r>
      <w:r>
        <w:rPr>
          <w:rFonts w:eastAsia="Times New Roman" w:cs="Times New Roman" w:ascii="Times New Roman" w:hAnsi="Times New Roman"/>
          <w:color w:val="000000"/>
          <w:sz w:val="26"/>
          <w:szCs w:val="26"/>
          <w:shd w:fill="auto" w:val="clear"/>
          <w:lang w:val="uk-UA"/>
        </w:rPr>
        <w:t xml:space="preserve"> міської ради </w:t>
      </w:r>
      <w:r>
        <w:rPr>
          <w:rFonts w:eastAsia="Times New Roman" w:cs="Times New Roman" w:ascii="Times New Roman" w:hAnsi="Times New Roman"/>
          <w:color w:val="000000"/>
          <w:sz w:val="26"/>
          <w:szCs w:val="26"/>
          <w:shd w:fill="auto" w:val="clear"/>
          <w:lang w:val="uk-UA"/>
        </w:rPr>
        <w:t xml:space="preserve">Дніпропетровської області </w:t>
      </w:r>
      <w:r>
        <w:rPr>
          <w:rFonts w:eastAsia="Times New Roman" w:cs="Times New Roman" w:ascii="Times New Roman" w:hAnsi="Times New Roman"/>
          <w:color w:val="000000"/>
          <w:sz w:val="26"/>
          <w:szCs w:val="26"/>
          <w:shd w:fill="auto" w:val="clear"/>
          <w:lang w:val="uk-UA"/>
        </w:rPr>
        <w:t>від 1</w:t>
      </w:r>
      <w:r>
        <w:rPr>
          <w:rFonts w:eastAsia="Times New Roman" w:cs="Times New Roman" w:ascii="Times New Roman" w:hAnsi="Times New Roman"/>
          <w:color w:val="000000"/>
          <w:sz w:val="26"/>
          <w:szCs w:val="26"/>
          <w:shd w:fill="auto" w:val="clear"/>
          <w:lang w:val="uk-UA"/>
        </w:rPr>
        <w:t>4</w:t>
      </w:r>
      <w:r>
        <w:rPr>
          <w:rFonts w:eastAsia="Times New Roman" w:cs="Times New Roman" w:ascii="Times New Roman" w:hAnsi="Times New Roman"/>
          <w:color w:val="000000"/>
          <w:sz w:val="26"/>
          <w:szCs w:val="26"/>
          <w:shd w:fill="auto" w:val="clear"/>
          <w:lang w:val="uk-UA"/>
        </w:rPr>
        <w:t>.</w:t>
      </w:r>
      <w:r>
        <w:rPr>
          <w:rFonts w:eastAsia="Times New Roman" w:cs="Times New Roman" w:ascii="Times New Roman" w:hAnsi="Times New Roman"/>
          <w:color w:val="000000"/>
          <w:sz w:val="26"/>
          <w:szCs w:val="26"/>
          <w:shd w:fill="auto" w:val="clear"/>
          <w:lang w:val="uk-UA"/>
        </w:rPr>
        <w:t>11</w:t>
      </w:r>
      <w:r>
        <w:rPr>
          <w:rFonts w:eastAsia="Times New Roman" w:cs="Times New Roman" w:ascii="Times New Roman" w:hAnsi="Times New Roman"/>
          <w:color w:val="000000"/>
          <w:sz w:val="26"/>
          <w:szCs w:val="26"/>
          <w:shd w:fill="auto" w:val="clear"/>
          <w:lang w:val="uk-UA"/>
        </w:rPr>
        <w:t>.202</w:t>
      </w:r>
      <w:r>
        <w:rPr>
          <w:rFonts w:eastAsia="Times New Roman" w:cs="Times New Roman" w:ascii="Times New Roman" w:hAnsi="Times New Roman"/>
          <w:color w:val="000000"/>
          <w:sz w:val="26"/>
          <w:szCs w:val="26"/>
          <w:shd w:fill="auto" w:val="clear"/>
          <w:lang w:val="uk-UA"/>
        </w:rPr>
        <w:t>5</w:t>
      </w:r>
      <w:r>
        <w:rPr>
          <w:rFonts w:eastAsia="Times New Roman" w:cs="Times New Roman"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9</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26" w:leader="none"/>
        </w:tabs>
        <w:spacing w:before="0" w:after="0"/>
        <w:ind w:hanging="0" w:start="0"/>
        <w:jc w:val="both"/>
        <w:rPr>
          <w:lang w:val="uk-UA"/>
        </w:rPr>
      </w:pPr>
      <w:hyperlink r:id="rId68">
        <w:r>
          <w:rPr>
            <w:rStyle w:val="Style5"/>
          </w:rPr>
          <w:t>https://www.calculat.org/ua/</w:t>
        </w:r>
      </w:hyperlink>
      <w:r>
        <w:rPr>
          <w:rFonts w:eastAsia="Times New Roman" w:cs="Times New Roman" w:ascii="Times New Roman" w:hAnsi="Times New Roman"/>
          <w:color w:val="000000"/>
          <w:sz w:val="26"/>
          <w:szCs w:val="26"/>
          <w:u w:val="single"/>
          <w:shd w:fill="auto" w:val="clear"/>
          <w:lang w:val="uk-UA"/>
        </w:rPr>
        <w:t xml:space="preserve"> </w:t>
      </w:r>
      <w:r>
        <w:rPr>
          <w:rFonts w:eastAsia="Times New Roman" w:cs="Times New Roman" w:ascii="Times New Roman" w:hAnsi="Times New Roman"/>
          <w:color w:val="000000"/>
          <w:sz w:val="26"/>
          <w:szCs w:val="26"/>
          <w:shd w:fill="auto" w:val="clear"/>
          <w:lang w:val="uk-UA"/>
        </w:rPr>
        <w:t>– веб-сторінка: онлайн калькулятор;</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w:t>
      </w:r>
      <w:r>
        <w:rPr>
          <w:rFonts w:eastAsia="Times New Roman" w:cs="Times New Roman" w:ascii="Times New Roman" w:hAnsi="Times New Roman"/>
          <w:color w:val="000000"/>
          <w:sz w:val="26"/>
          <w:szCs w:val="26"/>
          <w:shd w:fill="auto" w:val="clear"/>
          <w:lang w:val="uk-UA"/>
        </w:rPr>
        <w:t>Т</w:t>
      </w:r>
      <w:r>
        <w:rPr>
          <w:rFonts w:eastAsia="Times New Roman" w:cs="Times New Roman" w:ascii="Times New Roman" w:hAnsi="Times New Roman"/>
          <w:color w:val="000000"/>
          <w:sz w:val="26"/>
          <w:szCs w:val="26"/>
          <w:shd w:fill="auto" w:val="clear"/>
          <w:lang w:val="uk-UA"/>
        </w:rPr>
        <w:t>ДВ</w:t>
      </w:r>
      <w:r>
        <w:rPr>
          <w:rFonts w:eastAsia="Times New Roman" w:cs="Times New Roman" w:ascii="Times New Roman" w:hAnsi="Times New Roman"/>
          <w:color w:val="000000"/>
          <w:sz w:val="26"/>
          <w:szCs w:val="26"/>
          <w:shd w:fill="auto" w:val="clear"/>
          <w:lang w:val="uk-UA"/>
        </w:rPr>
        <w:t xml:space="preserve"> «Дніпрокомунтранс»</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w:t>
      </w:r>
      <w:r>
        <w:rPr>
          <w:rFonts w:eastAsia="Times New Roman" w:cs="Times New Roman" w:ascii="Times New Roman" w:hAnsi="Times New Roman"/>
          <w:color w:val="000000"/>
          <w:sz w:val="26"/>
          <w:szCs w:val="26"/>
          <w:shd w:fill="auto" w:val="clear"/>
          <w:lang w:val="uk-UA"/>
        </w:rPr>
        <w:t>ТОВ</w:t>
      </w:r>
      <w:r>
        <w:rPr>
          <w:rFonts w:eastAsia="Times New Roman" w:cs="Times New Roman"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АТЛАС АКТИВ»</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50"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w:t>
      </w:r>
      <w:r>
        <w:rPr>
          <w:rFonts w:eastAsia="Times New Roman" w:cs="Times New Roman" w:ascii="Times New Roman" w:hAnsi="Times New Roman"/>
          <w:color w:val="000000"/>
          <w:sz w:val="26"/>
          <w:szCs w:val="26"/>
          <w:shd w:fill="auto" w:val="clear"/>
          <w:lang w:val="uk-UA"/>
        </w:rPr>
        <w:t>ТОВ</w:t>
      </w:r>
      <w:r>
        <w:rPr>
          <w:rFonts w:eastAsia="Times New Roman" w:cs="Times New Roman" w:ascii="Times New Roman" w:hAnsi="Times New Roman"/>
          <w:color w:val="000000"/>
          <w:sz w:val="26"/>
          <w:szCs w:val="26"/>
          <w:shd w:fill="auto" w:val="clear"/>
          <w:lang w:val="uk-UA"/>
        </w:rPr>
        <w:t xml:space="preserve"> «</w:t>
      </w:r>
      <w:r>
        <w:rPr>
          <w:rFonts w:eastAsia="Times New Roman" w:cs="Times New Roman" w:ascii="Times New Roman" w:hAnsi="Times New Roman"/>
          <w:color w:val="000000"/>
          <w:sz w:val="26"/>
          <w:szCs w:val="26"/>
          <w:shd w:fill="auto" w:val="clear"/>
          <w:lang w:val="uk-UA"/>
        </w:rPr>
        <w:t>УКРТЕХРЕСУРС»</w:t>
      </w:r>
      <w:r>
        <w:rPr>
          <w:rFonts w:eastAsia="Times New Roman" w:cs="Times New Roman" w:ascii="Times New Roman" w:hAnsi="Times New Roman"/>
          <w:color w:val="000000"/>
          <w:sz w:val="26"/>
          <w:szCs w:val="26"/>
          <w:shd w:fill="auto" w:val="clear"/>
          <w:lang w:val="uk-UA"/>
        </w:rPr>
        <w:t>;</w:t>
      </w:r>
    </w:p>
    <w:p>
      <w:pPr>
        <w:pStyle w:val="Normal"/>
        <w:numPr>
          <w:ilvl w:val="0"/>
          <w:numId w:val="3"/>
        </w:numPr>
        <w:tabs>
          <w:tab w:val="clear" w:pos="709"/>
          <w:tab w:val="left" w:pos="426" w:leader="none"/>
        </w:tabs>
        <w:spacing w:before="0" w:after="0"/>
        <w:ind w:hanging="0" w:start="0"/>
        <w:jc w:val="both"/>
        <w:rPr>
          <w:lang w:val="uk-UA"/>
        </w:rPr>
      </w:pPr>
      <w:r>
        <w:rPr>
          <w:rFonts w:eastAsia="Times New Roman" w:cs="Times New Roman" w:ascii="Times New Roman" w:hAnsi="Times New Roman"/>
          <w:color w:val="000000"/>
          <w:sz w:val="26"/>
          <w:szCs w:val="26"/>
          <w:shd w:fill="auto" w:val="clear"/>
          <w:lang w:val="uk-UA"/>
        </w:rPr>
        <w:t xml:space="preserve">Інформація від муніципальних установ та організацій </w:t>
      </w:r>
      <w:r>
        <w:rPr>
          <w:rFonts w:eastAsia="Times New Roman" w:cs="Times New Roman" w:ascii="Times New Roman" w:hAnsi="Times New Roman"/>
          <w:color w:val="000000"/>
          <w:sz w:val="26"/>
          <w:szCs w:val="26"/>
          <w:shd w:fill="auto" w:val="clear"/>
          <w:lang w:val="uk-UA"/>
        </w:rPr>
        <w:t>Покровської</w:t>
      </w:r>
      <w:r>
        <w:rPr>
          <w:rFonts w:eastAsia="Times New Roman" w:cs="Times New Roman" w:ascii="Times New Roman" w:hAnsi="Times New Roman"/>
          <w:color w:val="000000"/>
          <w:sz w:val="26"/>
          <w:szCs w:val="26"/>
          <w:shd w:fill="auto" w:val="clear"/>
          <w:lang w:val="uk-UA"/>
        </w:rPr>
        <w:t xml:space="preserve"> міської територіальної громади;</w:t>
      </w:r>
    </w:p>
    <w:p>
      <w:pPr>
        <w:pStyle w:val="Normal"/>
        <w:numPr>
          <w:ilvl w:val="0"/>
          <w:numId w:val="3"/>
        </w:numPr>
        <w:tabs>
          <w:tab w:val="clear" w:pos="709"/>
          <w:tab w:val="left" w:pos="426" w:leader="none"/>
        </w:tabs>
        <w:spacing w:before="0" w:after="0"/>
        <w:ind w:hanging="0" w:start="0"/>
        <w:jc w:val="both"/>
        <w:rPr>
          <w:rFonts w:ascii="Times New Roman" w:hAnsi="Times New Roman" w:eastAsia="Times New Roman" w:cs="Times New Roman"/>
          <w:sz w:val="24"/>
          <w:szCs w:val="24"/>
          <w:lang w:val="uk-UA"/>
        </w:rPr>
      </w:pPr>
      <w:r>
        <w:rPr>
          <w:rFonts w:eastAsia="Times New Roman" w:cs="Times New Roman" w:ascii="Times New Roman" w:hAnsi="Times New Roman"/>
          <w:color w:val="000000"/>
          <w:sz w:val="26"/>
          <w:szCs w:val="26"/>
          <w:shd w:fill="auto" w:val="clear"/>
          <w:lang w:val="uk-UA"/>
        </w:rPr>
        <w:t xml:space="preserve">Результати моніторингу споживання енергоресурсів муніципальними установами та організаціями, що фінансуються з бюджету </w:t>
      </w:r>
      <w:r>
        <w:rPr>
          <w:rFonts w:eastAsia="Times New Roman" w:cs="Times New Roman" w:ascii="Times New Roman" w:hAnsi="Times New Roman"/>
          <w:color w:val="000000"/>
          <w:sz w:val="26"/>
          <w:szCs w:val="26"/>
          <w:shd w:fill="auto" w:val="clear"/>
          <w:lang w:val="uk-UA"/>
        </w:rPr>
        <w:t>Покровської</w:t>
      </w:r>
      <w:r>
        <w:rPr>
          <w:rFonts w:eastAsia="Times New Roman" w:cs="Times New Roman" w:ascii="Times New Roman" w:hAnsi="Times New Roman"/>
          <w:color w:val="000000"/>
          <w:sz w:val="26"/>
          <w:szCs w:val="26"/>
          <w:shd w:fill="auto" w:val="clear"/>
          <w:lang w:val="uk-UA"/>
        </w:rPr>
        <w:t xml:space="preserve"> міської територіальної громади</w:t>
      </w:r>
      <w:r>
        <w:rPr>
          <w:rFonts w:eastAsia="Times New Roman" w:cs="Times New Roman" w:ascii="Times New Roman" w:hAnsi="Times New Roman"/>
          <w:b/>
          <w:color w:val="000000"/>
          <w:sz w:val="26"/>
          <w:szCs w:val="26"/>
          <w:shd w:fill="auto" w:val="clear"/>
          <w:lang w:val="uk-UA"/>
        </w:rPr>
        <w:t>.</w:t>
      </w:r>
    </w:p>
    <w:p>
      <w:pPr>
        <w:pStyle w:val="Normal"/>
        <w:tabs>
          <w:tab w:val="clear" w:pos="709"/>
          <w:tab w:val="left" w:pos="426" w:leader="none"/>
        </w:tabs>
        <w:spacing w:before="0" w:after="0"/>
        <w:ind w:hanging="0" w:start="0"/>
        <w:jc w:val="both"/>
        <w:rPr>
          <w:rFonts w:ascii="Times New Roman" w:hAnsi="Times New Roman" w:eastAsia="Times New Roman" w:cs="Times New Roman"/>
          <w:sz w:val="24"/>
          <w:szCs w:val="24"/>
          <w:lang w:val="uk-UA"/>
        </w:rPr>
      </w:pPr>
      <w:r>
        <w:rPr>
          <w:rFonts w:eastAsia="Times New Roman" w:cs="Times New Roman" w:ascii="Times New Roman" w:hAnsi="Times New Roman"/>
          <w:b/>
          <w:color w:val="000000"/>
          <w:sz w:val="26"/>
          <w:szCs w:val="26"/>
          <w:shd w:fill="FFFF00" w:val="clear"/>
          <w:lang w:val="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000000"/>
          <w:spacing w:val="0"/>
          <w:kern w:val="0"/>
          <w:sz w:val="28"/>
          <w:szCs w:val="28"/>
          <w:shd w:fill="BBE33D" w:val="clear"/>
          <w:lang w:eastAsia="uk-UA"/>
        </w:rPr>
        <w:sectPr>
          <w:type w:val="nextPage"/>
          <w:pgSz w:w="11906" w:h="16838"/>
          <w:pgMar w:left="1701" w:right="850" w:gutter="0" w:header="0" w:top="1134" w:footer="0" w:bottom="1701"/>
          <w:pgNumType w:fmt="decimal"/>
          <w:formProt w:val="false"/>
          <w:textDirection w:val="lrTb"/>
          <w:docGrid w:type="default" w:linePitch="312" w:charSpace="4294961151"/>
        </w:sectPr>
      </w:pPr>
      <w:r>
        <w:rPr>
          <w:rFonts w:eastAsia="Century Gothic" w:cs="Century Gothic" w:ascii="Times New Roman" w:hAnsi="Times New Roman"/>
          <w:b/>
          <w:bCs/>
          <w:i w:val="false"/>
          <w:caps w:val="false"/>
          <w:smallCaps w:val="false"/>
          <w:color w:val="000000"/>
          <w:spacing w:val="0"/>
          <w:kern w:val="0"/>
          <w:sz w:val="28"/>
          <w:szCs w:val="28"/>
          <w:shd w:fill="BBE33D" w:val="clear"/>
          <w:lang w:eastAsia="uk-UA"/>
        </w:rPr>
      </w:r>
    </w:p>
    <w:p>
      <w:pPr>
        <w:pStyle w:val="BodyText"/>
        <w:widowControl/>
        <w:pBdr/>
        <w:spacing w:before="0" w:after="150"/>
        <w:ind w:firstLine="450" w:start="0" w:end="0"/>
        <w:jc w:val="both"/>
        <w:rPr>
          <w:rFonts w:ascii="Times New Roman" w:hAnsi="Times New Roman" w:eastAsia="Century Gothic" w:cs="Century Gothic"/>
          <w:b/>
          <w:bCs/>
          <w:i w:val="false"/>
          <w:caps w:val="false"/>
          <w:smallCaps w:val="false"/>
          <w:color w:val="333333"/>
          <w:spacing w:val="0"/>
          <w:kern w:val="0"/>
          <w:sz w:val="28"/>
          <w:szCs w:val="28"/>
          <w:shd w:fill="auto" w:val="clear"/>
          <w:lang w:eastAsia="uk-UA"/>
        </w:rPr>
      </w:pP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Д</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 xml:space="preserve">одаток </w:t>
      </w:r>
      <w:r>
        <w:rPr>
          <w:rFonts w:eastAsia="Century Gothic" w:cs="Century Gothic" w:ascii="Times New Roman" w:hAnsi="Times New Roman"/>
          <w:b/>
          <w:bCs/>
          <w:i w:val="false"/>
          <w:caps w:val="false"/>
          <w:smallCaps w:val="false"/>
          <w:color w:val="000000"/>
          <w:spacing w:val="0"/>
          <w:kern w:val="0"/>
          <w:sz w:val="28"/>
          <w:szCs w:val="28"/>
          <w:shd w:fill="auto" w:val="clear"/>
          <w:lang w:eastAsia="uk-UA"/>
        </w:rPr>
        <w:t>5</w:t>
      </w:r>
      <w:r>
        <w:rPr>
          <w:rFonts w:eastAsia="Century Gothic" w:cs="Century Gothic" w:ascii="Times New Roman" w:hAnsi="Times New Roman"/>
          <w:b/>
          <w:bCs/>
          <w:i w:val="false"/>
          <w:caps w:val="false"/>
          <w:smallCaps w:val="false"/>
          <w:color w:val="333333"/>
          <w:spacing w:val="0"/>
          <w:kern w:val="0"/>
          <w:sz w:val="28"/>
          <w:szCs w:val="28"/>
          <w:shd w:fill="auto" w:val="clear"/>
          <w:lang w:eastAsia="uk-UA"/>
        </w:rPr>
        <w:t xml:space="preserve"> «Прогноз зміни цін і тарифів на енергію та комунальні послуги»</w:t>
      </w:r>
    </w:p>
    <w:tbl>
      <w:tblPr>
        <w:tblW w:w="15362" w:type="dxa"/>
        <w:jc w:val="start"/>
        <w:tblInd w:w="25" w:type="dxa"/>
        <w:tblLayout w:type="fixed"/>
        <w:tblCellMar>
          <w:top w:w="55" w:type="dxa"/>
          <w:start w:w="55" w:type="dxa"/>
          <w:bottom w:w="55" w:type="dxa"/>
          <w:end w:w="55" w:type="dxa"/>
        </w:tblCellMar>
      </w:tblPr>
      <w:tblGrid>
        <w:gridCol w:w="6750"/>
        <w:gridCol w:w="1410"/>
        <w:gridCol w:w="1080"/>
        <w:gridCol w:w="975"/>
        <w:gridCol w:w="840"/>
        <w:gridCol w:w="855"/>
        <w:gridCol w:w="795"/>
        <w:gridCol w:w="855"/>
        <w:gridCol w:w="840"/>
        <w:gridCol w:w="962"/>
      </w:tblGrid>
      <w:tr>
        <w:trPr>
          <w:trHeight w:val="354" w:hRule="atLeast"/>
        </w:trPr>
        <w:tc>
          <w:tcPr>
            <w:tcW w:w="675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Сектори кінцевих споживачів енергетичного планування</w:t>
            </w:r>
          </w:p>
        </w:tc>
        <w:tc>
          <w:tcPr>
            <w:tcW w:w="141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2022</w:t>
            </w:r>
          </w:p>
        </w:tc>
        <w:tc>
          <w:tcPr>
            <w:tcW w:w="108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2023</w:t>
            </w:r>
          </w:p>
        </w:tc>
        <w:tc>
          <w:tcPr>
            <w:tcW w:w="97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2024</w:t>
            </w:r>
          </w:p>
        </w:tc>
        <w:tc>
          <w:tcPr>
            <w:tcW w:w="84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2025</w:t>
            </w:r>
          </w:p>
        </w:tc>
        <w:tc>
          <w:tcPr>
            <w:tcW w:w="85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2026</w:t>
            </w:r>
          </w:p>
        </w:tc>
        <w:tc>
          <w:tcPr>
            <w:tcW w:w="79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2027</w:t>
            </w:r>
          </w:p>
        </w:tc>
        <w:tc>
          <w:tcPr>
            <w:tcW w:w="855"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2028</w:t>
            </w:r>
          </w:p>
        </w:tc>
        <w:tc>
          <w:tcPr>
            <w:tcW w:w="840" w:type="dxa"/>
            <w:tcBorders>
              <w:top w:val="single" w:sz="4" w:space="0" w:color="000000"/>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2029</w:t>
            </w:r>
          </w:p>
        </w:tc>
        <w:tc>
          <w:tcPr>
            <w:tcW w:w="96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strike w:val="false"/>
                <w:dstrike w:val="false"/>
                <w:kern w:val="0"/>
                <w:sz w:val="20"/>
                <w:szCs w:val="20"/>
                <w:u w:val="none"/>
                <w:shd w:fill="auto" w:val="clear"/>
                <w:lang w:val="uk-UA" w:eastAsia="uk-UA" w:bidi="ar-SA"/>
              </w:rPr>
              <w:t>2030</w:t>
            </w:r>
          </w:p>
        </w:tc>
      </w:tr>
      <w:tr>
        <w:trPr>
          <w:trHeight w:val="229"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Громадські будівлі (Бюджет)</w:t>
            </w:r>
          </w:p>
        </w:tc>
      </w:tr>
      <w:tr>
        <w:trPr>
          <w:trHeight w:val="27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Тепло, грн/Гкал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4309</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91</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6412</w:t>
            </w: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2</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6444</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68</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7188</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93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7907,82</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8298</w:t>
            </w:r>
            <w:r>
              <w:rPr>
                <w:rFonts w:eastAsia="Arial" w:cs="Times New Roman" w:ascii="Times New Roman" w:hAnsi="Times New Roman"/>
                <w:color w:val="000000"/>
                <w:kern w:val="0"/>
                <w:sz w:val="20"/>
                <w:szCs w:val="22"/>
                <w:shd w:fill="auto" w:val="clear"/>
                <w:lang w:val="uk-UA" w:eastAsia="uk-UA" w:bidi="ar-SA"/>
              </w:rPr>
              <w:t>,6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8435,34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86</w:t>
            </w:r>
            <w:r>
              <w:rPr>
                <w:rFonts w:eastAsia="Arial" w:cs="Times New Roman" w:ascii="Times New Roman" w:hAnsi="Times New Roman"/>
                <w:color w:val="000000"/>
                <w:kern w:val="0"/>
                <w:sz w:val="20"/>
                <w:szCs w:val="22"/>
                <w:shd w:fill="auto" w:val="clear"/>
                <w:lang w:val="uk-UA" w:eastAsia="uk-UA" w:bidi="ar-SA"/>
              </w:rPr>
              <w:t>50</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97</w:t>
            </w:r>
            <w:r>
              <w:rPr>
                <w:rFonts w:eastAsia="Arial" w:cs="Times New Roman" w:ascii="Times New Roman" w:hAnsi="Times New Roman"/>
                <w:color w:val="000000"/>
                <w:kern w:val="0"/>
                <w:sz w:val="20"/>
                <w:szCs w:val="22"/>
                <w:shd w:fill="auto" w:val="clear"/>
                <w:lang w:val="uk-UA" w:eastAsia="uk-UA" w:bidi="ar-SA"/>
              </w:rPr>
              <w:t>50</w:t>
            </w:r>
          </w:p>
        </w:tc>
      </w:tr>
      <w:tr>
        <w:trPr>
          <w:trHeight w:val="325"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Природний газ, грн/1000м3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r>
      <w:tr>
        <w:trPr>
          <w:trHeight w:val="317"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3,5</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4,3</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6,9</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10,0</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12,0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14,0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15,5</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16,9</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водопостачання та водовідведення</w:t>
            </w:r>
          </w:p>
        </w:tc>
      </w:tr>
      <w:tr>
        <w:trPr>
          <w:trHeight w:val="257"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з розподілом,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7</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7</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12</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1</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13,0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13</w:t>
            </w:r>
            <w:r>
              <w:rPr>
                <w:rFonts w:eastAsia="Arial" w:cs="Times New Roman" w:ascii="Times New Roman" w:hAnsi="Times New Roman"/>
                <w:color w:val="000000"/>
                <w:kern w:val="0"/>
                <w:sz w:val="20"/>
                <w:szCs w:val="22"/>
                <w:shd w:fill="auto" w:val="clear"/>
                <w:lang w:val="uk-UA" w:eastAsia="uk-UA" w:bidi="ar-SA"/>
              </w:rPr>
              <w:t>,9</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14,</w:t>
            </w:r>
            <w:r>
              <w:rPr>
                <w:rFonts w:eastAsia="Arial" w:cs="Times New Roman" w:ascii="Times New Roman" w:hAnsi="Times New Roman"/>
                <w:color w:val="000000"/>
                <w:kern w:val="0"/>
                <w:sz w:val="20"/>
                <w:szCs w:val="22"/>
                <w:shd w:fill="auto" w:val="clear"/>
                <w:lang w:val="uk-UA" w:eastAsia="uk-UA" w:bidi="ar-SA"/>
              </w:rPr>
              <w:t>1</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4</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15,5</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16,9</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зовнішнього освітлення</w:t>
            </w:r>
          </w:p>
        </w:tc>
      </w:tr>
      <w:tr>
        <w:trPr>
          <w:trHeight w:val="34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Електроенергія (розподіл, постачання)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6</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3</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7</w:t>
            </w:r>
            <w:r>
              <w:rPr>
                <w:rFonts w:eastAsia="Arial" w:cs="Times New Roman" w:ascii="Times New Roman" w:hAnsi="Times New Roman"/>
                <w:color w:val="000000"/>
                <w:kern w:val="0"/>
                <w:sz w:val="20"/>
                <w:szCs w:val="22"/>
                <w:shd w:fill="auto" w:val="clear"/>
                <w:lang w:val="uk-UA" w:eastAsia="uk-UA" w:bidi="ar-SA"/>
              </w:rPr>
              <w:t>,3</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9</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6</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w:t>
            </w:r>
            <w:r>
              <w:rPr>
                <w:rFonts w:eastAsia="Arial" w:cs="Times New Roman" w:ascii="Times New Roman" w:hAnsi="Times New Roman"/>
                <w:color w:val="000000"/>
                <w:kern w:val="0"/>
                <w:sz w:val="20"/>
                <w:szCs w:val="22"/>
                <w:shd w:fill="auto" w:val="clear"/>
                <w:lang w:val="uk-UA" w:eastAsia="uk-UA" w:bidi="ar-SA"/>
              </w:rPr>
              <w:t>,6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11</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1</w:t>
            </w:r>
            <w:r>
              <w:rPr>
                <w:rFonts w:eastAsia="Arial" w:cs="Times New Roman" w:ascii="Times New Roman" w:hAnsi="Times New Roman"/>
                <w:color w:val="000000"/>
                <w:kern w:val="0"/>
                <w:sz w:val="20"/>
                <w:szCs w:val="22"/>
                <w:shd w:fill="auto" w:val="clear"/>
                <w:lang w:val="uk-UA" w:eastAsia="uk-UA" w:bidi="ar-SA"/>
              </w:rPr>
              <w:t>,</w:t>
            </w:r>
            <w:r>
              <w:rPr>
                <w:rFonts w:eastAsia="Arial" w:cs="Times New Roman" w:ascii="Times New Roman" w:hAnsi="Times New Roman"/>
                <w:color w:val="000000"/>
                <w:kern w:val="0"/>
                <w:sz w:val="20"/>
                <w:szCs w:val="22"/>
                <w:shd w:fill="auto" w:val="clear"/>
                <w:lang w:val="uk-UA" w:eastAsia="uk-UA" w:bidi="ar-SA"/>
              </w:rPr>
              <w:t>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12</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15,5</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16,9</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Житлові будівлі (Населення)</w:t>
            </w:r>
          </w:p>
        </w:tc>
      </w:tr>
      <w:tr>
        <w:trPr>
          <w:trHeight w:val="175"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Природний газ, грн/м3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9</w:t>
            </w:r>
            <w:r>
              <w:rPr>
                <w:rFonts w:eastAsia="Arial" w:cs="Times New Roman" w:ascii="Times New Roman" w:hAnsi="Times New Roman"/>
                <w:color w:val="000000"/>
                <w:kern w:val="0"/>
                <w:sz w:val="20"/>
                <w:szCs w:val="22"/>
                <w:shd w:fill="auto" w:val="clear"/>
                <w:lang w:val="uk-UA" w:eastAsia="uk-UA" w:bidi="ar-SA"/>
              </w:rPr>
              <w:t>,1</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10,0</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10,0</w:t>
            </w:r>
          </w:p>
        </w:tc>
      </w:tr>
      <w:tr>
        <w:trPr>
          <w:trHeight w:val="433"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1,7</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2,6</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4,3</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4,3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4,9</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5,6</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6,4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7,36</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8,5</w:t>
            </w:r>
          </w:p>
        </w:tc>
      </w:tr>
      <w:tr>
        <w:trPr>
          <w:trHeight w:val="128"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Деревина грн / м3 (без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940</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1030</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1340</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2"/>
                <w:shd w:fill="auto" w:val="clear"/>
                <w:lang w:val="uk-UA" w:eastAsia="uk-UA" w:bidi="ar-SA"/>
              </w:rPr>
              <w:t>1470</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1565</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1731</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1815</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1963</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2"/>
                <w:shd w:fill="auto" w:val="clear"/>
                <w:lang w:val="uk-UA" w:eastAsia="uk-UA" w:bidi="ar-SA"/>
              </w:rPr>
              <w:t>2077</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у сфері теплопостачання  (в частині споживання електричної енергії для потреб транспортування і розподілу теплової енергії)</w:t>
            </w:r>
          </w:p>
        </w:tc>
      </w:tr>
      <w:tr>
        <w:trPr>
          <w:trHeight w:val="266"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Електроенергія, з розподілом, грн/кВт*год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6,0</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6,6</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6,9</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7,</w:t>
            </w:r>
            <w:r>
              <w:rPr>
                <w:rFonts w:eastAsia="Times New Roman" w:cs="Times New Roman" w:ascii="Times New Roman" w:hAnsi="Times New Roman"/>
                <w:color w:val="000000"/>
                <w:kern w:val="0"/>
                <w:sz w:val="20"/>
                <w:szCs w:val="20"/>
                <w:shd w:fill="auto" w:val="clear"/>
                <w:lang w:val="uk-UA" w:eastAsia="uk-UA" w:bidi="ar-SA"/>
              </w:rPr>
              <w:t>3</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9,0</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9,9</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10,9</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11,9</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13,13</w:t>
            </w:r>
          </w:p>
        </w:tc>
      </w:tr>
      <w:tr>
        <w:trPr>
          <w:trHeight w:val="27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Газ, грн/1000м3 (з ПДВ)</w:t>
            </w:r>
          </w:p>
        </w:tc>
        <w:tc>
          <w:tcPr>
            <w:tcW w:w="141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108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975"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16,</w:t>
            </w:r>
            <w:r>
              <w:rPr>
                <w:rFonts w:eastAsia="Times New Roman" w:cs="Times New Roman" w:ascii="Times New Roman" w:hAnsi="Times New Roman"/>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w:t>
            </w:r>
            <w:r>
              <w:rPr>
                <w:rFonts w:eastAsia="Times New Roman" w:cs="Times New Roman" w:ascii="Times New Roman" w:hAnsi="Times New Roman"/>
                <w:color w:val="000000"/>
                <w:kern w:val="0"/>
                <w:sz w:val="20"/>
                <w:szCs w:val="20"/>
                <w:shd w:fill="auto" w:val="clear"/>
                <w:lang w:val="uk-UA" w:eastAsia="uk-UA" w:bidi="ar-SA"/>
              </w:rPr>
              <w:t>6</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,4</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Times New Roman" w:cs="Times New Roman" w:ascii="Times New Roman" w:hAnsi="Times New Roman"/>
                <w:color w:val="000000"/>
                <w:kern w:val="0"/>
                <w:sz w:val="20"/>
                <w:szCs w:val="20"/>
                <w:shd w:fill="auto" w:val="clear"/>
                <w:lang w:val="uk-UA" w:eastAsia="uk-UA" w:bidi="ar-SA"/>
              </w:rPr>
              <w:t>18</w:t>
            </w:r>
            <w:r>
              <w:rPr>
                <w:rFonts w:eastAsia="Times New Roman" w:cs="Times New Roman" w:ascii="Times New Roman" w:hAnsi="Times New Roman"/>
                <w:color w:val="000000"/>
                <w:kern w:val="0"/>
                <w:sz w:val="20"/>
                <w:szCs w:val="20"/>
                <w:shd w:fill="auto" w:val="clear"/>
                <w:lang w:val="uk-UA" w:eastAsia="uk-UA" w:bidi="ar-SA"/>
              </w:rPr>
              <w:t>,</w:t>
            </w:r>
            <w:r>
              <w:rPr>
                <w:rFonts w:eastAsia="Times New Roman" w:cs="Times New Roman" w:ascii="Times New Roman" w:hAnsi="Times New Roman"/>
                <w:color w:val="000000"/>
                <w:kern w:val="0"/>
                <w:sz w:val="20"/>
                <w:szCs w:val="20"/>
                <w:shd w:fill="auto" w:val="clear"/>
                <w:lang w:val="uk-UA" w:eastAsia="uk-UA" w:bidi="ar-SA"/>
              </w:rPr>
              <w:t>4</w:t>
            </w:r>
          </w:p>
        </w:tc>
      </w:tr>
      <w:tr>
        <w:trPr>
          <w:trHeight w:val="235" w:hRule="atLeast"/>
        </w:trPr>
        <w:tc>
          <w:tcPr>
            <w:tcW w:w="15362" w:type="dxa"/>
            <w:gridSpan w:val="10"/>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shd w:fill="auto" w:val="clear"/>
                <w:lang w:val="uk-UA" w:eastAsia="uk-UA" w:bidi="ar-SA"/>
              </w:rPr>
              <w:t>Об'єкти з управління побутовими відходами</w:t>
            </w:r>
          </w:p>
        </w:tc>
      </w:tr>
      <w:tr>
        <w:trPr>
          <w:trHeight w:val="271" w:hRule="atLeast"/>
        </w:trPr>
        <w:tc>
          <w:tcPr>
            <w:tcW w:w="6750" w:type="dxa"/>
            <w:tcBorders>
              <w:start w:val="single" w:sz="4" w:space="0" w:color="000000"/>
              <w:bottom w:val="single" w:sz="4" w:space="0" w:color="000000"/>
            </w:tcBorders>
            <w:vAlign w:val="center"/>
          </w:tcPr>
          <w:p>
            <w:pPr>
              <w:pStyle w:val="Normal"/>
              <w:widowControl w:val="false"/>
              <w:suppressAutoHyphens w:val="true"/>
              <w:spacing w:lineRule="auto" w:line="240" w:before="0" w:after="0"/>
              <w:jc w:val="start"/>
              <w:rPr>
                <w:rFonts w:ascii="Times New Roman" w:hAnsi="Times New Roman" w:eastAsia="Times New Roman" w:cs="Times New Roman"/>
                <w:sz w:val="20"/>
                <w:szCs w:val="20"/>
                <w:lang w:val="uk-UA"/>
              </w:rPr>
            </w:pPr>
            <w:r>
              <w:rPr>
                <w:rFonts w:eastAsia="Times New Roman" w:cs="Times New Roman" w:ascii="Times New Roman" w:hAnsi="Times New Roman"/>
                <w:kern w:val="0"/>
                <w:sz w:val="20"/>
                <w:szCs w:val="20"/>
                <w:lang w:val="uk-UA" w:eastAsia="uk-UA" w:bidi="ar-SA"/>
              </w:rPr>
              <w:t>Дизельне пальне, грн/л</w:t>
            </w:r>
          </w:p>
        </w:tc>
        <w:tc>
          <w:tcPr>
            <w:tcW w:w="1410" w:type="dxa"/>
            <w:tcBorders>
              <w:start w:val="single" w:sz="4" w:space="0" w:color="000000"/>
              <w:bottom w:val="single" w:sz="4" w:space="0" w:color="000000"/>
            </w:tcBorders>
            <w:vAlign w:val="bottom"/>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0"/>
                <w:shd w:fill="auto" w:val="clear"/>
                <w:lang w:val="uk-UA" w:eastAsia="uk-UA" w:bidi="ar-SA"/>
              </w:rPr>
              <w:t>31,4</w:t>
            </w:r>
          </w:p>
        </w:tc>
        <w:tc>
          <w:tcPr>
            <w:tcW w:w="1080" w:type="dxa"/>
            <w:tcBorders>
              <w:start w:val="single" w:sz="4" w:space="0" w:color="000000"/>
              <w:bottom w:val="single" w:sz="4" w:space="0" w:color="000000"/>
            </w:tcBorders>
            <w:vAlign w:val="bottom"/>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0"/>
                <w:shd w:fill="auto" w:val="clear"/>
                <w:lang w:val="uk-UA" w:eastAsia="uk-UA" w:bidi="ar-SA"/>
              </w:rPr>
              <w:t>51,4</w:t>
            </w:r>
          </w:p>
        </w:tc>
        <w:tc>
          <w:tcPr>
            <w:tcW w:w="975" w:type="dxa"/>
            <w:tcBorders>
              <w:start w:val="single" w:sz="4" w:space="0" w:color="000000"/>
              <w:bottom w:val="single" w:sz="4" w:space="0" w:color="000000"/>
            </w:tcBorders>
            <w:vAlign w:val="bottom"/>
          </w:tcPr>
          <w:p>
            <w:pPr>
              <w:pStyle w:val="Normal"/>
              <w:widowControl w:val="false"/>
              <w:suppressAutoHyphens w:val="true"/>
              <w:spacing w:lineRule="auto" w:line="240" w:before="0" w:after="0"/>
              <w:jc w:val="center"/>
              <w:rPr>
                <w:rFonts w:ascii="Times New Roman" w:hAnsi="Times New Roman" w:eastAsia="Times New Roman" w:cs="Times New Roman"/>
                <w:sz w:val="20"/>
                <w:szCs w:val="20"/>
                <w:lang w:val="uk-UA"/>
              </w:rPr>
            </w:pPr>
            <w:r>
              <w:rPr>
                <w:rFonts w:eastAsia="Arial" w:cs="Times New Roman" w:ascii="Times New Roman" w:hAnsi="Times New Roman"/>
                <w:color w:val="000000"/>
                <w:kern w:val="0"/>
                <w:sz w:val="20"/>
                <w:szCs w:val="20"/>
                <w:shd w:fill="auto" w:val="clear"/>
                <w:lang w:val="uk-UA" w:eastAsia="uk-UA" w:bidi="ar-SA"/>
              </w:rPr>
              <w:t>52,7</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5</w:t>
            </w:r>
            <w:r>
              <w:rPr>
                <w:rFonts w:eastAsia="Arial" w:cs="Times New Roman" w:ascii="Times New Roman" w:hAnsi="Times New Roman"/>
                <w:color w:val="000000"/>
                <w:kern w:val="0"/>
                <w:sz w:val="20"/>
                <w:szCs w:val="20"/>
                <w:shd w:fill="auto" w:val="clear"/>
                <w:lang w:val="uk-UA" w:eastAsia="uk-UA" w:bidi="ar-SA"/>
              </w:rPr>
              <w:t>8</w:t>
            </w:r>
            <w:r>
              <w:rPr>
                <w:rFonts w:eastAsia="Arial" w:cs="Times New Roman" w:ascii="Times New Roman" w:hAnsi="Times New Roman"/>
                <w:color w:val="000000"/>
                <w:kern w:val="0"/>
                <w:sz w:val="20"/>
                <w:szCs w:val="20"/>
                <w:shd w:fill="auto" w:val="clear"/>
                <w:lang w:val="uk-UA" w:eastAsia="uk-UA" w:bidi="ar-SA"/>
              </w:rPr>
              <w:t>,</w:t>
            </w:r>
            <w:r>
              <w:rPr>
                <w:rFonts w:eastAsia="Arial" w:cs="Times New Roman" w:ascii="Times New Roman" w:hAnsi="Times New Roman"/>
                <w:color w:val="000000"/>
                <w:kern w:val="0"/>
                <w:sz w:val="20"/>
                <w:szCs w:val="20"/>
                <w:shd w:fill="auto" w:val="clear"/>
                <w:lang w:val="uk-UA" w:eastAsia="uk-UA" w:bidi="ar-SA"/>
              </w:rPr>
              <w:t>4</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86</w:t>
            </w:r>
            <w:r>
              <w:rPr>
                <w:rFonts w:eastAsia="Arial" w:cs="Times New Roman" w:ascii="Times New Roman" w:hAnsi="Times New Roman"/>
                <w:color w:val="000000"/>
                <w:kern w:val="0"/>
                <w:sz w:val="20"/>
                <w:szCs w:val="20"/>
                <w:shd w:fill="auto" w:val="clear"/>
                <w:lang w:val="uk-UA" w:eastAsia="uk-UA" w:bidi="ar-SA"/>
              </w:rPr>
              <w:t>,6</w:t>
            </w:r>
          </w:p>
        </w:tc>
        <w:tc>
          <w:tcPr>
            <w:tcW w:w="79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82</w:t>
            </w:r>
            <w:r>
              <w:rPr>
                <w:rFonts w:eastAsia="Arial" w:cs="Times New Roman" w:ascii="Times New Roman" w:hAnsi="Times New Roman"/>
                <w:color w:val="000000"/>
                <w:kern w:val="0"/>
                <w:sz w:val="20"/>
                <w:szCs w:val="20"/>
                <w:shd w:fill="auto" w:val="clear"/>
                <w:lang w:val="uk-UA" w:eastAsia="uk-UA" w:bidi="ar-SA"/>
              </w:rPr>
              <w:t>,8</w:t>
            </w:r>
          </w:p>
        </w:tc>
        <w:tc>
          <w:tcPr>
            <w:tcW w:w="855"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w:t>
            </w:r>
            <w:r>
              <w:rPr>
                <w:rFonts w:eastAsia="Arial" w:cs="Times New Roman" w:ascii="Times New Roman" w:hAnsi="Times New Roman"/>
                <w:color w:val="000000"/>
                <w:kern w:val="0"/>
                <w:sz w:val="20"/>
                <w:szCs w:val="20"/>
                <w:shd w:fill="auto" w:val="clear"/>
                <w:lang w:val="uk-UA" w:eastAsia="uk-UA" w:bidi="ar-SA"/>
              </w:rPr>
              <w:t>4,5</w:t>
            </w:r>
          </w:p>
        </w:tc>
        <w:tc>
          <w:tcPr>
            <w:tcW w:w="840" w:type="dxa"/>
            <w:tcBorders>
              <w:start w:val="single" w:sz="4" w:space="0" w:color="000000"/>
              <w:bottom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82,0</w:t>
            </w:r>
          </w:p>
        </w:tc>
        <w:tc>
          <w:tcPr>
            <w:tcW w:w="962" w:type="dxa"/>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76" w:before="0" w:after="0"/>
              <w:jc w:val="center"/>
              <w:rPr>
                <w:rFonts w:ascii="Times New Roman" w:hAnsi="Times New Roman" w:eastAsia="Times New Roman" w:cs="Times New Roman"/>
                <w:color w:val="000000"/>
                <w:sz w:val="20"/>
                <w:szCs w:val="20"/>
                <w:lang w:val="uk-UA"/>
              </w:rPr>
            </w:pPr>
            <w:r>
              <w:rPr>
                <w:rFonts w:eastAsia="Arial" w:cs="Times New Roman" w:ascii="Times New Roman" w:hAnsi="Times New Roman"/>
                <w:color w:val="000000"/>
                <w:kern w:val="0"/>
                <w:sz w:val="20"/>
                <w:szCs w:val="20"/>
                <w:shd w:fill="auto" w:val="clear"/>
                <w:lang w:val="uk-UA" w:eastAsia="uk-UA" w:bidi="ar-SA"/>
              </w:rPr>
              <w:t>82</w:t>
            </w:r>
            <w:r>
              <w:rPr>
                <w:rFonts w:eastAsia="Arial" w:cs="Times New Roman" w:ascii="Times New Roman" w:hAnsi="Times New Roman"/>
                <w:color w:val="000000"/>
                <w:kern w:val="0"/>
                <w:sz w:val="20"/>
                <w:szCs w:val="20"/>
                <w:shd w:fill="auto" w:val="clear"/>
                <w:lang w:val="uk-UA" w:eastAsia="uk-UA" w:bidi="ar-SA"/>
              </w:rPr>
              <w:t>,2</w:t>
            </w:r>
          </w:p>
        </w:tc>
      </w:tr>
    </w:tbl>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shd w:fill="FFFF00" w:val="clear"/>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b/>
          <w:bCs/>
          <w:color w:val="000000"/>
          <w:kern w:val="0"/>
          <w:sz w:val="28"/>
          <w:szCs w:val="28"/>
          <w:lang w:eastAsia="uk-UA"/>
        </w:rPr>
      </w:r>
    </w:p>
    <w:p>
      <w:pPr>
        <w:pStyle w:val="Normal"/>
        <w:ind w:firstLine="567"/>
        <w:jc w:val="center"/>
        <w:rPr>
          <w:rFonts w:ascii="Times New Roman" w:hAnsi="Times New Roman"/>
          <w:sz w:val="26"/>
          <w:szCs w:val="26"/>
        </w:rPr>
      </w:pPr>
      <w:r>
        <w:rPr>
          <w:rFonts w:eastAsia="Century Gothic" w:cs="Century Gothic" w:ascii="Times New Roman" w:hAnsi="Times New Roman"/>
          <w:color w:val="000000"/>
          <w:kern w:val="0"/>
          <w:sz w:val="28"/>
          <w:szCs w:val="28"/>
          <w:lang w:eastAsia="uk-UA"/>
        </w:rPr>
      </w:r>
    </w:p>
    <w:sectPr>
      <w:headerReference w:type="default" r:id="rId69"/>
      <w:type w:val="nextPage"/>
      <w:pgSz w:orient="landscape" w:w="16838" w:h="11906"/>
      <w:pgMar w:left="1134" w:right="1134" w:gutter="0" w:header="1134" w:top="1693"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entury Gothic">
    <w:charset w:val="cc" w:characterSet="windows-1251"/>
    <w:family w:val="roman"/>
    <w:pitch w:val="variable"/>
  </w:font>
  <w:font w:name="OpenSymbol">
    <w:altName w:val="Arial Unicode MS"/>
    <w:charset w:val="02"/>
    <w:family w:val="auto"/>
    <w:pitch w:val="default"/>
  </w:font>
  <w:font w:name="Symbol">
    <w:charset w:val="cc" w:characterSet="windows-1251"/>
    <w:family w:val="roman"/>
    <w:pitch w:val="variable"/>
  </w:font>
  <w:font w:name="Times New Roman">
    <w:charset w:val="cc" w:characterSet="windows-1251"/>
    <w:family w:val="roman"/>
    <w:pitch w:val="variable"/>
  </w:font>
  <w:font w:name="Courier New">
    <w:charset w:val="cc" w:characterSet="windows-1251"/>
    <w:family w:val="roman"/>
    <w:pitch w:val="variable"/>
  </w:font>
  <w:font w:name="Tahoma">
    <w:charset w:val="cc" w:characterSet="windows-1251"/>
    <w:family w:val="roman"/>
    <w:pitch w:val="variable"/>
  </w:font>
  <w:font w:name="Arial Unicode MS">
    <w:charset w:val="cc" w:characterSet="windows-1251"/>
    <w:family w:val="swiss"/>
    <w:pitch w:val="variable"/>
  </w:font>
  <w:font w:name="Liberation Sans">
    <w:altName w:val="Arial"/>
    <w:charset w:val="cc" w:characterSet="windows-1251"/>
    <w:family w:val="swiss"/>
    <w:pitch w:val="variable"/>
  </w:font>
  <w:font w:name="Verdana">
    <w:charset w:val="cc" w:characterSet="windows-1251"/>
    <w:family w:val="roman"/>
    <w:pitch w:val="variable"/>
  </w:font>
  <w:font w:name="Verdana">
    <w:charset w:val="cc" w:characterSet="windows-1251"/>
    <w:family w:val="swiss"/>
    <w:pitch w:val="variable"/>
  </w:font>
  <w:font w:name="Calibri">
    <w:charset w:val="cc" w:characterSet="windows-1251"/>
    <w:family w:val="swiss"/>
    <w:pitch w:val="variable"/>
  </w:font>
  <w:font w:name="Tahoma">
    <w:charset w:val="cc" w:characterSet="windows-1251"/>
    <w:family w:val="swiss"/>
    <w:pitch w:val="variable"/>
  </w:font>
  <w:font w:name="Times New Roman">
    <w:charset w:val="cc" w:characterSet="windows-1251"/>
    <w:family w:val="roman"/>
    <w:pitch w:val="default"/>
  </w:font>
  <w:font w:name="Cambria Math">
    <w:charset w:val="cc" w:characterSet="windows-1251"/>
    <w:family w:val="roman"/>
    <w:pitch w:val="variable"/>
  </w:font>
  <w:font w:name="Calibri">
    <w:charset w:val="cc" w:characterSet="windows-1251"/>
    <w:family w:val="roman"/>
    <w:pitch w:val="variable"/>
  </w:font>
  <w:font w:name="Segoe UI Symbol">
    <w:charset w:val="cc" w:characterSet="windows-1251"/>
    <w:family w:val="roman"/>
    <w:pitch w:val="variable"/>
  </w:font>
  <w:font w:name="Times New Roman">
    <w:charset w:val="cc" w:characterSet="windows-1251"/>
    <w:family w:val="auto"/>
    <w:pitch w:val="default"/>
  </w:font>
  <w:font w:name="Calibri">
    <w:charset w:val="cc" w:characterSet="windows-1251"/>
    <w:family w:val="auto"/>
    <w:pitch w:val="default"/>
  </w:font>
  <w:font w:name="Noto Sans Symbols">
    <w:charset w:val="01"/>
    <w:family w:val="swiss"/>
    <w:pitch w:val="default"/>
  </w:font>
  <w:font w:name="Courier New">
    <w:charset w:val="01"/>
    <w:family w:val="modern"/>
    <w:pitch w:val="fixed"/>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1287" w:hanging="360"/>
      </w:pPr>
      <w:rPr>
        <w:rFonts w:ascii="Noto Sans Symbols" w:hAnsi="Noto Sans Symbols" w:cs="Noto Sans Symbols"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Noto Sans Symbols" w:hAnsi="Noto Sans Symbols" w:cs="Noto Sans Symbols" w:hint="default"/>
      </w:rPr>
    </w:lvl>
    <w:lvl w:ilvl="3">
      <w:start w:val="1"/>
      <w:numFmt w:val="bullet"/>
      <w:lvlText w:val="●"/>
      <w:lvlJc w:val="start"/>
      <w:pPr>
        <w:tabs>
          <w:tab w:val="num" w:pos="0"/>
        </w:tabs>
        <w:ind w:start="3447" w:hanging="360"/>
      </w:pPr>
      <w:rPr>
        <w:rFonts w:ascii="Noto Sans Symbols" w:hAnsi="Noto Sans Symbols" w:cs="Noto Sans Symbols"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Noto Sans Symbols" w:hAnsi="Noto Sans Symbols" w:cs="Noto Sans Symbols" w:hint="default"/>
      </w:rPr>
    </w:lvl>
    <w:lvl w:ilvl="6">
      <w:start w:val="1"/>
      <w:numFmt w:val="bullet"/>
      <w:lvlText w:val="●"/>
      <w:lvlJc w:val="start"/>
      <w:pPr>
        <w:tabs>
          <w:tab w:val="num" w:pos="0"/>
        </w:tabs>
        <w:ind w:start="5607" w:hanging="360"/>
      </w:pPr>
      <w:rPr>
        <w:rFonts w:ascii="Noto Sans Symbols" w:hAnsi="Noto Sans Symbols" w:cs="Noto Sans Symbols"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Noto Sans Symbols" w:hAnsi="Noto Sans Symbols" w:cs="Noto Sans Symbols" w:hint="default"/>
      </w:rPr>
    </w:lvl>
  </w:abstractNum>
  <w:abstractNum w:abstractNumId="3">
    <w:lvl w:ilvl="0">
      <w:start w:val="1"/>
      <w:numFmt w:val="decimal"/>
      <w:lvlText w:val="%1)"/>
      <w:lvlJc w:val="start"/>
      <w:pPr>
        <w:tabs>
          <w:tab w:val="num" w:pos="0"/>
        </w:tabs>
        <w:ind w:start="720" w:hanging="360"/>
      </w:pPr>
      <w:rPr>
        <w:rFonts w:ascii="Times New Roman" w:hAnsi="Times New Roman" w:eastAsia="Times New Roman" w:cs="Times New Roman"/>
      </w:rPr>
    </w:lvl>
    <w:lvl w:ilvl="1">
      <w:start w:val="1"/>
      <w:numFmt w:val="decimal"/>
      <w:lvlText w:val="%2."/>
      <w:lvlJc w:val="start"/>
      <w:pPr>
        <w:tabs>
          <w:tab w:val="num" w:pos="0"/>
        </w:tabs>
        <w:ind w:start="1080" w:hanging="360"/>
      </w:pPr>
      <w:rPr>
        <w:rFonts w:ascii="Times New Roman" w:hAnsi="Times New Roman" w:eastAsia="Times New Roman" w:cs="Times New Roman"/>
      </w:rPr>
    </w:lvl>
    <w:lvl w:ilvl="2">
      <w:start w:val="1"/>
      <w:numFmt w:val="decimal"/>
      <w:lvlText w:val="%3."/>
      <w:lvlJc w:val="start"/>
      <w:pPr>
        <w:tabs>
          <w:tab w:val="num" w:pos="0"/>
        </w:tabs>
        <w:ind w:start="1440" w:hanging="360"/>
      </w:pPr>
      <w:rPr>
        <w:rFonts w:ascii="Times New Roman" w:hAnsi="Times New Roman" w:eastAsia="Times New Roman" w:cs="Times New Roman"/>
      </w:rPr>
    </w:lvl>
    <w:lvl w:ilvl="3">
      <w:start w:val="1"/>
      <w:numFmt w:val="decimal"/>
      <w:lvlText w:val="%4."/>
      <w:lvlJc w:val="start"/>
      <w:pPr>
        <w:tabs>
          <w:tab w:val="num" w:pos="0"/>
        </w:tabs>
        <w:ind w:start="1800" w:hanging="360"/>
      </w:pPr>
      <w:rPr>
        <w:rFonts w:ascii="Times New Roman" w:hAnsi="Times New Roman" w:eastAsia="Times New Roman" w:cs="Times New Roman"/>
      </w:rPr>
    </w:lvl>
    <w:lvl w:ilvl="4">
      <w:start w:val="1"/>
      <w:numFmt w:val="decimal"/>
      <w:lvlText w:val="%5."/>
      <w:lvlJc w:val="start"/>
      <w:pPr>
        <w:tabs>
          <w:tab w:val="num" w:pos="0"/>
        </w:tabs>
        <w:ind w:start="2160" w:hanging="360"/>
      </w:pPr>
      <w:rPr>
        <w:rFonts w:ascii="Times New Roman" w:hAnsi="Times New Roman" w:eastAsia="Times New Roman" w:cs="Times New Roman"/>
      </w:rPr>
    </w:lvl>
    <w:lvl w:ilvl="5">
      <w:start w:val="1"/>
      <w:numFmt w:val="decimal"/>
      <w:lvlText w:val="%6."/>
      <w:lvlJc w:val="start"/>
      <w:pPr>
        <w:tabs>
          <w:tab w:val="num" w:pos="0"/>
        </w:tabs>
        <w:ind w:start="2520" w:hanging="360"/>
      </w:pPr>
      <w:rPr>
        <w:rFonts w:ascii="Times New Roman" w:hAnsi="Times New Roman" w:eastAsia="Times New Roman" w:cs="Times New Roman"/>
      </w:rPr>
    </w:lvl>
    <w:lvl w:ilvl="6">
      <w:start w:val="1"/>
      <w:numFmt w:val="decimal"/>
      <w:lvlText w:val="%7."/>
      <w:lvlJc w:val="start"/>
      <w:pPr>
        <w:tabs>
          <w:tab w:val="num" w:pos="0"/>
        </w:tabs>
        <w:ind w:start="2880" w:hanging="360"/>
      </w:pPr>
      <w:rPr>
        <w:rFonts w:ascii="Times New Roman" w:hAnsi="Times New Roman" w:eastAsia="Times New Roman" w:cs="Times New Roman"/>
      </w:rPr>
    </w:lvl>
    <w:lvl w:ilvl="7">
      <w:start w:val="1"/>
      <w:numFmt w:val="decimal"/>
      <w:lvlText w:val="%8."/>
      <w:lvlJc w:val="start"/>
      <w:pPr>
        <w:tabs>
          <w:tab w:val="num" w:pos="0"/>
        </w:tabs>
        <w:ind w:start="3240" w:hanging="360"/>
      </w:pPr>
      <w:rPr>
        <w:rFonts w:ascii="Times New Roman" w:hAnsi="Times New Roman" w:eastAsia="Times New Roman" w:cs="Times New Roman"/>
      </w:rPr>
    </w:lvl>
    <w:lvl w:ilvl="8">
      <w:start w:val="1"/>
      <w:numFmt w:val="decimal"/>
      <w:lvlText w:val="%9."/>
      <w:lvlJc w:val="start"/>
      <w:pPr>
        <w:tabs>
          <w:tab w:val="num" w:pos="0"/>
        </w:tabs>
        <w:ind w:start="3600" w:hanging="360"/>
      </w:pPr>
      <w:rPr>
        <w:rFonts w:ascii="Times New Roman" w:hAnsi="Times New Roman" w:eastAsia="Times New Roman" w:cs="Times New Roman"/>
      </w:rPr>
    </w:lvl>
  </w:abstractNum>
  <w:abstractNum w:abstractNumId="4">
    <w:lvl w:ilvl="0">
      <w:start w:val="1"/>
      <w:numFmt w:val="bullet"/>
      <w:lvlText w:val=""/>
      <w:lvlJc w:val="start"/>
      <w:pPr>
        <w:tabs>
          <w:tab w:val="num" w:pos="450"/>
        </w:tabs>
        <w:ind w:start="45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efaultTabStop w:val="709"/>
  <w:autoHyphenation w:val="true"/>
  <w:hyphenationZone w:val="0"/>
  <w:compat>
    <w:adjustLineHeightInTable/>
    <w:doNotBreakWrappedTables/>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uk-UA"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uk-UA" w:eastAsia="zh-CN" w:bidi="hi-IN"/>
    </w:rPr>
  </w:style>
  <w:style w:type="paragraph" w:styleId="Heading1">
    <w:name w:val="heading 1"/>
    <w:basedOn w:val="Style18"/>
    <w:next w:val="BodyText"/>
    <w:qFormat/>
    <w:pPr>
      <w:numPr>
        <w:ilvl w:val="0"/>
        <w:numId w:val="0"/>
      </w:numPr>
      <w:spacing w:before="240" w:after="120"/>
      <w:outlineLvl w:val="0"/>
    </w:pPr>
    <w:rPr>
      <w:rFonts w:ascii="Liberation Serif" w:hAnsi="Liberation Serif" w:eastAsia="NSimSun" w:cs="Arial"/>
      <w:b/>
      <w:bCs/>
      <w:sz w:val="48"/>
      <w:szCs w:val="48"/>
    </w:rPr>
  </w:style>
  <w:style w:type="paragraph" w:styleId="Heading2">
    <w:name w:val="heading 2"/>
    <w:basedOn w:val="Normal"/>
    <w:next w:val="Normal"/>
    <w:qFormat/>
    <w:pPr>
      <w:keepNext w:val="true"/>
      <w:keepLines/>
      <w:numPr>
        <w:ilvl w:val="0"/>
        <w:numId w:val="0"/>
      </w:numPr>
      <w:spacing w:before="160" w:after="80"/>
      <w:outlineLvl w:val="1"/>
    </w:pPr>
    <w:rPr>
      <w:rFonts w:ascii="Century Gothic" w:hAnsi="Century Gothic" w:eastAsia="NSimSun" w:cs="Arial"/>
      <w:color w:themeColor="accent1" w:themeShade="bf" w:val="032348"/>
      <w:sz w:val="32"/>
      <w:szCs w:val="32"/>
    </w:rPr>
  </w:style>
  <w:style w:type="paragraph" w:styleId="Heading3">
    <w:name w:val="heading 3"/>
    <w:basedOn w:val="Normal"/>
    <w:next w:val="Normal"/>
    <w:qFormat/>
    <w:pPr>
      <w:keepNext w:val="true"/>
      <w:keepLines/>
      <w:numPr>
        <w:ilvl w:val="0"/>
        <w:numId w:val="0"/>
      </w:numPr>
      <w:spacing w:before="160" w:after="80"/>
      <w:outlineLvl w:val="2"/>
    </w:pPr>
    <w:rPr>
      <w:rFonts w:eastAsia="NSimSun" w:cs="Arial"/>
      <w:color w:themeColor="accent1" w:themeShade="bf" w:val="032348"/>
      <w:sz w:val="28"/>
      <w:szCs w:val="28"/>
    </w:rPr>
  </w:style>
  <w:style w:type="paragraph" w:styleId="Heading4">
    <w:name w:val="heading 4"/>
    <w:basedOn w:val="Style18"/>
    <w:next w:val="BodyText"/>
    <w:qFormat/>
    <w:pPr>
      <w:numPr>
        <w:ilvl w:val="0"/>
        <w:numId w:val="0"/>
      </w:numPr>
      <w:spacing w:before="120" w:after="120"/>
      <w:outlineLvl w:val="3"/>
    </w:pPr>
    <w:rPr>
      <w:rFonts w:ascii="Liberation Serif" w:hAnsi="Liberation Serif" w:eastAsia="NSimSun" w:cs="Arial"/>
      <w:b/>
      <w:bCs/>
      <w:sz w:val="24"/>
      <w:szCs w:val="24"/>
    </w:rPr>
  </w:style>
  <w:style w:type="character" w:styleId="Style10">
    <w:name w:val="Маркери"/>
    <w:qFormat/>
    <w:rPr>
      <w:rFonts w:ascii="OpenSymbol" w:hAnsi="OpenSymbol" w:eastAsia="OpenSymbol" w:cs="OpenSymbol"/>
    </w:rPr>
  </w:style>
  <w:style w:type="character" w:styleId="Style11">
    <w:name w:val="Символ нумерації"/>
    <w:qFormat/>
    <w:rPr/>
  </w:style>
  <w:style w:type="character" w:styleId="DefaultParagraphFont">
    <w:name w:val="Default Paragraph Font"/>
    <w:qFormat/>
    <w:rPr/>
  </w:style>
  <w:style w:type="character" w:styleId="Hyperlink">
    <w:name w:val="Hyperlink"/>
    <w:basedOn w:val="DefaultParagraphFont"/>
    <w:rPr>
      <w:rFonts w:cs="Times New Roman"/>
      <w:color w:val="0000FF"/>
      <w:u w:val="single"/>
    </w:rPr>
  </w:style>
  <w:style w:type="character" w:styleId="Strong">
    <w:name w:val="Strong"/>
    <w:qFormat/>
    <w:rPr>
      <w:b/>
      <w:bCs/>
    </w:rPr>
  </w:style>
  <w:style w:type="character" w:styleId="FollowedHyperlink">
    <w:name w:val="FollowedHyperlink"/>
    <w:rPr>
      <w:color w:val="800000"/>
      <w:u w:val="single"/>
    </w:rPr>
  </w:style>
  <w:style w:type="character" w:styleId="Style12">
    <w:name w:val="Шрифт абзацу за замовчуванням"/>
    <w:qFormat/>
    <w:rPr/>
  </w:style>
  <w:style w:type="character" w:styleId="Style13">
    <w:name w:val="Основной шрифт абзаца"/>
    <w:qFormat/>
    <w:rPr/>
  </w:style>
  <w:style w:type="character" w:styleId="Style14">
    <w:name w:val="Посилання покажчика"/>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4z0">
    <w:name w:val="WW8Num4z0"/>
    <w:qFormat/>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9z0">
    <w:name w:val="WW8Num9z0"/>
    <w:qFormat/>
    <w:rPr/>
  </w:style>
  <w:style w:type="character" w:styleId="WW8Num10z0">
    <w:name w:val="WW8Num10z0"/>
    <w:qFormat/>
    <w:rPr>
      <w:rFonts w:ascii="Symbol" w:hAnsi="Symbol" w:cs="Symbol"/>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WW8Num14z0">
    <w:name w:val="WW8Num14z0"/>
    <w:qFormat/>
    <w:rPr>
      <w:rFonts w:ascii="Times New Roman" w:hAnsi="Times New Roman" w:eastAsia="WenQuanYi Micro Hei" w:cs="Times New Roman"/>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WW8Num15z0">
    <w:name w:val="WW8Num15z0"/>
    <w:qFormat/>
    <w:rPr>
      <w:rFonts w:ascii="Times New Roman" w:hAnsi="Times New Roman" w:eastAsia="WenQuanYi Micro Hei" w:cs="Times New Roman"/>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Times New Roman" w:hAnsi="Times New Roman" w:eastAsia="Times New Roman" w:cs="Times New Roman"/>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Times New Roman" w:hAnsi="Times New Roman" w:eastAsia="Times New Roman" w:cs="Times New Roman"/>
    </w:rPr>
  </w:style>
  <w:style w:type="character" w:styleId="WW8Num26z1">
    <w:name w:val="WW8Num26z1"/>
    <w:qFormat/>
    <w:rPr>
      <w:rFonts w:ascii="Courier New" w:hAnsi="Courier New" w:cs="Courier New"/>
    </w:rPr>
  </w:style>
  <w:style w:type="character" w:styleId="WW8Num26z3">
    <w:name w:val="WW8Num26z3"/>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3">
    <w:name w:val="WW8Num27z3"/>
    <w:qFormat/>
    <w:rPr>
      <w:rFonts w:ascii="Symbol" w:hAnsi="Symbol" w:cs="Symbol"/>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Times New Roman" w:hAnsi="Times New Roman" w:eastAsia="Times New Roman" w:cs="Times New Roman"/>
    </w:rPr>
  </w:style>
  <w:style w:type="character" w:styleId="WW8Num32z1">
    <w:name w:val="WW8Num32z1"/>
    <w:qFormat/>
    <w:rPr>
      <w:rFonts w:ascii="Courier New" w:hAnsi="Courier New" w:cs="Courier New"/>
    </w:rPr>
  </w:style>
  <w:style w:type="character" w:styleId="WW8Num32z3">
    <w:name w:val="WW8Num32z3"/>
    <w:qFormat/>
    <w:rPr>
      <w:rFonts w:ascii="Symbol" w:hAnsi="Symbol" w:cs="Symbol"/>
    </w:rPr>
  </w:style>
  <w:style w:type="character" w:styleId="WW8Num33z0">
    <w:name w:val="WW8Num33z0"/>
    <w:qFormat/>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style>
  <w:style w:type="character" w:styleId="WW8Num34z1">
    <w:name w:val="WW8Num34z1"/>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2">
    <w:name w:val="Основной шрифт абзаца2"/>
    <w:qFormat/>
    <w:rPr/>
  </w:style>
  <w:style w:type="character" w:styleId="WW-Absatz-Standardschriftart11111111111111111111111">
    <w:name w:val="WW-Absatz-Standardschriftart11111111111111111111111"/>
    <w:qFormat/>
    <w:rPr/>
  </w:style>
  <w:style w:type="character" w:styleId="WW8Num8z1">
    <w:name w:val="WW8Num8z1"/>
    <w:qFormat/>
    <w:rPr>
      <w:rFonts w:ascii="Courier New" w:hAnsi="Courier New" w:cs="Courier New"/>
    </w:rPr>
  </w:style>
  <w:style w:type="character" w:styleId="WW8Num8z3">
    <w:name w:val="WW8Num8z3"/>
    <w:qFormat/>
    <w:rPr>
      <w:rFonts w:ascii="Symbol" w:hAnsi="Symbol" w:cs="Symbol"/>
    </w:rPr>
  </w:style>
  <w:style w:type="character" w:styleId="1">
    <w:name w:val="Основной шрифт абзаца1"/>
    <w:qFormat/>
    <w:rPr/>
  </w:style>
  <w:style w:type="character" w:styleId="Style15">
    <w:name w:val="Знак Знак"/>
    <w:qFormat/>
    <w:rPr>
      <w:rFonts w:ascii="Tahoma" w:hAnsi="Tahoma" w:cs="Tahoma"/>
      <w:sz w:val="16"/>
      <w:szCs w:val="16"/>
    </w:rPr>
  </w:style>
  <w:style w:type="character" w:styleId="Style16">
    <w:name w:val="Основной текст Знак"/>
    <w:qFormat/>
    <w:rPr>
      <w:rFonts w:eastAsia="Times New Roman" w:cs="Times New Roman"/>
      <w:sz w:val="28"/>
      <w:lang w:val="uk-UA"/>
    </w:rPr>
  </w:style>
  <w:style w:type="character" w:styleId="HTML">
    <w:name w:val="Стандартный HTML Знак"/>
    <w:qFormat/>
    <w:rPr>
      <w:rFonts w:ascii="Arial Unicode MS" w:hAnsi="Arial Unicode MS" w:eastAsia="Arial Unicode MS" w:cs="Arial Unicode MS"/>
    </w:rPr>
  </w:style>
  <w:style w:type="character" w:styleId="21">
    <w:name w:val="Знак Знак2"/>
    <w:qFormat/>
    <w:rPr>
      <w:iCs/>
      <w:sz w:val="24"/>
      <w:szCs w:val="24"/>
      <w:lang w:val="uk-UA"/>
    </w:rPr>
  </w:style>
  <w:style w:type="character" w:styleId="4">
    <w:name w:val="Заголовок 4 Знак"/>
    <w:qFormat/>
    <w:rPr>
      <w:rFonts w:eastAsia="Times New Roman"/>
      <w:b/>
      <w:bCs/>
      <w:sz w:val="28"/>
      <w:szCs w:val="28"/>
      <w:lang w:val="uk-UA"/>
    </w:rPr>
  </w:style>
  <w:style w:type="character" w:styleId="WW8Num7z8">
    <w:name w:val="WW8Num7z8"/>
    <w:qFormat/>
    <w:rPr/>
  </w:style>
  <w:style w:type="character" w:styleId="WW8Num7z7">
    <w:name w:val="WW8Num7z7"/>
    <w:qFormat/>
    <w:rPr/>
  </w:style>
  <w:style w:type="character" w:styleId="WW8Num7z6">
    <w:name w:val="WW8Num7z6"/>
    <w:qFormat/>
    <w:rPr/>
  </w:style>
  <w:style w:type="character" w:styleId="WW8Num7z5">
    <w:name w:val="WW8Num7z5"/>
    <w:qFormat/>
    <w:rPr/>
  </w:style>
  <w:style w:type="character" w:styleId="WW8Num7z4">
    <w:name w:val="WW8Num7z4"/>
    <w:qFormat/>
    <w:rPr/>
  </w:style>
  <w:style w:type="character" w:styleId="WW8Num7z3">
    <w:name w:val="WW8Num7z3"/>
    <w:qFormat/>
    <w:rPr/>
  </w:style>
  <w:style w:type="character" w:styleId="WW8Num7z2">
    <w:name w:val="WW8Num7z2"/>
    <w:qFormat/>
    <w:rPr/>
  </w:style>
  <w:style w:type="character" w:styleId="WW8Num7z1">
    <w:name w:val="WW8Num7z1"/>
    <w:qFormat/>
    <w:rPr/>
  </w:style>
  <w:style w:type="character" w:styleId="WW8Num6z1">
    <w:name w:val="WW8Num6z1"/>
    <w:qFormat/>
    <w:rPr>
      <w:rFonts w:ascii="Courier New" w:hAnsi="Courier New" w:cs="Courier New"/>
    </w:rPr>
  </w:style>
  <w:style w:type="character" w:styleId="WW8Num5z1">
    <w:name w:val="WW8Num5z1"/>
    <w:qFormat/>
    <w:rPr>
      <w:rFonts w:ascii="Courier New" w:hAnsi="Courier New" w:cs="Courier New"/>
    </w:rPr>
  </w:style>
  <w:style w:type="character" w:styleId="WW8Num4z8">
    <w:name w:val="WW8Num4z8"/>
    <w:qFormat/>
    <w:rPr/>
  </w:style>
  <w:style w:type="character" w:styleId="WW8Num4z7">
    <w:name w:val="WW8Num4z7"/>
    <w:qFormat/>
    <w:rPr/>
  </w:style>
  <w:style w:type="character" w:styleId="WW8Num4z6">
    <w:name w:val="WW8Num4z6"/>
    <w:qFormat/>
    <w:rPr/>
  </w:style>
  <w:style w:type="character" w:styleId="WW8Num4z5">
    <w:name w:val="WW8Num4z5"/>
    <w:qFormat/>
    <w:rPr/>
  </w:style>
  <w:style w:type="character" w:styleId="WW8Num4z4">
    <w:name w:val="WW8Num4z4"/>
    <w:qFormat/>
    <w:rPr/>
  </w:style>
  <w:style w:type="character" w:styleId="WW8Num4z3">
    <w:name w:val="WW8Num4z3"/>
    <w:qFormat/>
    <w:rPr/>
  </w:style>
  <w:style w:type="character" w:styleId="WW8Num4z2">
    <w:name w:val="WW8Num4z2"/>
    <w:qFormat/>
    <w:rPr/>
  </w:style>
  <w:style w:type="character" w:styleId="WW8Num4z1">
    <w:name w:val="WW8Num4z1"/>
    <w:qFormat/>
    <w:rPr/>
  </w:style>
  <w:style w:type="character" w:styleId="WW8Num3z8">
    <w:name w:val="WW8Num3z8"/>
    <w:qFormat/>
    <w:rPr/>
  </w:style>
  <w:style w:type="character" w:styleId="WW8Num3z7">
    <w:name w:val="WW8Num3z7"/>
    <w:qFormat/>
    <w:rPr/>
  </w:style>
  <w:style w:type="character" w:styleId="WW8Num3z6">
    <w:name w:val="WW8Num3z6"/>
    <w:qFormat/>
    <w:rPr/>
  </w:style>
  <w:style w:type="character" w:styleId="WW8Num3z5">
    <w:name w:val="WW8Num3z5"/>
    <w:qFormat/>
    <w:rPr/>
  </w:style>
  <w:style w:type="character" w:styleId="WW8Num3z4">
    <w:name w:val="WW8Num3z4"/>
    <w:qFormat/>
    <w:rPr/>
  </w:style>
  <w:style w:type="character" w:styleId="WW8Num3z3">
    <w:name w:val="WW8Num3z3"/>
    <w:qFormat/>
    <w:rPr/>
  </w:style>
  <w:style w:type="character" w:styleId="WW8Num3z2">
    <w:name w:val="WW8Num3z2"/>
    <w:qFormat/>
    <w:rPr/>
  </w:style>
  <w:style w:type="character" w:styleId="WW8Num3z1">
    <w:name w:val="WW8Num3z1"/>
    <w:qFormat/>
    <w:rPr/>
  </w:style>
  <w:style w:type="character" w:styleId="Style17">
    <w:name w:val="Текст выноски Знак"/>
    <w:qFormat/>
    <w:rPr>
      <w:rFonts w:ascii="Tahoma" w:hAnsi="Tahoma" w:eastAsia="Calibri" w:cs="Tahoma"/>
      <w:sz w:val="16"/>
      <w:szCs w:val="16"/>
    </w:rPr>
  </w:style>
  <w:style w:type="character" w:styleId="DefaultParagraphFont1">
    <w:name w:val="Default Paragraph Font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paragraph" w:styleId="Style1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9">
    <w:name w:val="Покажчик"/>
    <w:basedOn w:val="Normal"/>
    <w:qFormat/>
    <w:pPr>
      <w:suppressLineNumbers/>
    </w:pPr>
    <w:rPr>
      <w:rFonts w:cs="Arial"/>
    </w:rPr>
  </w:style>
  <w:style w:type="paragraph" w:styleId="Style20">
    <w:name w:val="Вміст таблиці"/>
    <w:basedOn w:val="Normal"/>
    <w:qFormat/>
    <w:pPr>
      <w:widowControl w:val="false"/>
      <w:suppressLineNumbers/>
    </w:pPr>
    <w:rPr/>
  </w:style>
  <w:style w:type="paragraph" w:styleId="NormalWeb">
    <w:name w:val="Normal (Web)"/>
    <w:basedOn w:val="Normal"/>
    <w:qFormat/>
    <w:pPr>
      <w:spacing w:before="280" w:after="280"/>
    </w:pPr>
    <w:rPr>
      <w:rFonts w:ascii="Times New Roman" w:hAnsi="Times New Roman" w:eastAsia="Times New Roman" w:cs="Times New Roman"/>
      <w:kern w:val="0"/>
      <w:lang w:val="ru-RU" w:eastAsia="ru-RU" w:bidi="ar-SA"/>
    </w:rPr>
  </w:style>
  <w:style w:type="paragraph" w:styleId="ListParagraph">
    <w:name w:val="List Paragraph"/>
    <w:basedOn w:val="Normal"/>
    <w:qFormat/>
    <w:pPr>
      <w:spacing w:before="0" w:after="0"/>
      <w:ind w:start="720"/>
      <w:contextualSpacing/>
    </w:pPr>
    <w:rPr>
      <w:rFonts w:cs="Mangal"/>
      <w:szCs w:val="21"/>
    </w:rPr>
  </w:style>
  <w:style w:type="paragraph" w:styleId="Standard">
    <w:name w:val="Standard"/>
    <w:qFormat/>
    <w:pPr>
      <w:widowControl/>
      <w:suppressAutoHyphens w:val="true"/>
      <w:kinsoku w:val="true"/>
      <w:overflowPunct w:val="true"/>
      <w:autoSpaceDE w:val="true"/>
      <w:bidi w:val="0"/>
      <w:spacing w:before="0" w:after="0"/>
      <w:jc w:val="start"/>
      <w:textAlignment w:val="baseline"/>
    </w:pPr>
    <w:rPr>
      <w:rFonts w:ascii="Liberation Serif" w:hAnsi="Liberation Serif" w:eastAsia="NSimSun" w:cs="Arial"/>
      <w:color w:val="auto"/>
      <w:kern w:val="2"/>
      <w:sz w:val="24"/>
      <w:szCs w:val="24"/>
      <w:lang w:val="uk-UA" w:eastAsia="zh-CN" w:bidi="hi-IN"/>
    </w:rPr>
  </w:style>
  <w:style w:type="paragraph" w:styleId="Default">
    <w:name w:val="Default"/>
    <w:qFormat/>
    <w:pPr>
      <w:widowControl/>
      <w:suppressAutoHyphens w:val="true"/>
      <w:kinsoku w:val="true"/>
      <w:overflowPunct w:val="true"/>
      <w:autoSpaceDE w:val="true"/>
      <w:bidi w:val="0"/>
      <w:spacing w:before="0" w:after="0"/>
      <w:jc w:val="start"/>
      <w:textAlignment w:val="baseline"/>
    </w:pPr>
    <w:rPr>
      <w:rFonts w:ascii="Times New Roman" w:hAnsi="Times New Roman" w:eastAsia="Century Gothic" w:cs="Times New Roman"/>
      <w:color w:val="000000"/>
      <w:kern w:val="0"/>
      <w:sz w:val="24"/>
      <w:szCs w:val="24"/>
      <w:lang w:eastAsia="uk-UA" w:bidi="ar-SA" w:val="uk-UA"/>
    </w:rPr>
  </w:style>
  <w:style w:type="paragraph" w:styleId="TOC3">
    <w:name w:val="toc 3"/>
    <w:basedOn w:val="Normal"/>
    <w:next w:val="Normal"/>
    <w:pPr>
      <w:spacing w:lineRule="auto" w:line="259" w:before="0" w:after="100"/>
      <w:ind w:start="440"/>
    </w:pPr>
    <w:rPr>
      <w:rFonts w:ascii="Century Gothic" w:hAnsi="Century Gothic" w:eastAsia="Century Gothic" w:cs="Century Gothic"/>
      <w:kern w:val="0"/>
      <w:sz w:val="22"/>
      <w:szCs w:val="22"/>
      <w:lang w:eastAsia="uk-UA"/>
    </w:rPr>
  </w:style>
  <w:style w:type="paragraph" w:styleId="TOC2">
    <w:name w:val="toc 2"/>
    <w:basedOn w:val="Normal"/>
    <w:next w:val="Normal"/>
    <w:pPr>
      <w:tabs>
        <w:tab w:val="clear" w:pos="709"/>
        <w:tab w:val="right" w:pos="9849" w:leader="dot"/>
      </w:tabs>
      <w:spacing w:lineRule="auto" w:line="259" w:before="0" w:after="100"/>
      <w:ind w:start="220"/>
    </w:pPr>
    <w:rPr>
      <w:rFonts w:ascii="Century Gothic" w:hAnsi="Century Gothic" w:eastAsia="Times New Roman" w:cs="Times New Roman"/>
      <w:kern w:val="0"/>
      <w:sz w:val="22"/>
      <w:szCs w:val="22"/>
    </w:rPr>
  </w:style>
  <w:style w:type="paragraph" w:styleId="Style21">
    <w:name w:val="Заголовок таблиці"/>
    <w:basedOn w:val="Style20"/>
    <w:qFormat/>
    <w:pPr>
      <w:suppressLineNumbers/>
      <w:jc w:val="center"/>
    </w:pPr>
    <w:rPr>
      <w:b/>
      <w:bCs/>
    </w:rPr>
  </w:style>
  <w:style w:type="paragraph" w:styleId="Title">
    <w:name w:val="Title"/>
    <w:basedOn w:val="Style18"/>
    <w:next w:val="BodyText"/>
    <w:qFormat/>
    <w:pPr>
      <w:jc w:val="center"/>
    </w:pPr>
    <w:rPr>
      <w:b/>
      <w:bCs/>
      <w:sz w:val="56"/>
      <w:szCs w:val="56"/>
    </w:rPr>
  </w:style>
  <w:style w:type="paragraph" w:styleId="Style22">
    <w:name w:val="Верхній і нижній колонтитули"/>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819" w:leader="none"/>
        <w:tab w:val="right" w:pos="9639" w:leader="none"/>
      </w:tabs>
      <w:spacing w:lineRule="auto" w:line="240" w:before="0" w:after="0"/>
    </w:pPr>
    <w:rPr>
      <w:rFonts w:ascii="Century Gothic" w:hAnsi="Century Gothic" w:eastAsia="Century Gothic" w:cs="Century Gothic"/>
      <w:kern w:val="0"/>
      <w:sz w:val="22"/>
      <w:szCs w:val="22"/>
      <w:lang w:eastAsia="uk-UA"/>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Arial"/>
      <w:i/>
      <w:iCs/>
      <w:sz w:val="24"/>
      <w:szCs w:val="24"/>
    </w:rPr>
  </w:style>
  <w:style w:type="paragraph" w:styleId="Caption1111">
    <w:name w:val="Caption1111"/>
    <w:basedOn w:val="Normal"/>
    <w:qFormat/>
    <w:pPr>
      <w:suppressLineNumbers/>
      <w:spacing w:before="120" w:after="120"/>
    </w:pPr>
    <w:rPr>
      <w:rFonts w:cs="Arial"/>
      <w:i/>
      <w:iCs/>
      <w:sz w:val="24"/>
      <w:szCs w:val="24"/>
    </w:rPr>
  </w:style>
  <w:style w:type="paragraph" w:styleId="Caption11111">
    <w:name w:val="Caption11111"/>
    <w:basedOn w:val="Normal"/>
    <w:qFormat/>
    <w:pPr>
      <w:suppressLineNumbers/>
      <w:spacing w:before="120" w:after="120"/>
    </w:pPr>
    <w:rPr>
      <w:rFonts w:cs="Arial"/>
      <w:i/>
      <w:iCs/>
      <w:sz w:val="24"/>
      <w:szCs w:val="24"/>
    </w:rPr>
  </w:style>
  <w:style w:type="paragraph" w:styleId="Caption111111">
    <w:name w:val="Caption111111"/>
    <w:basedOn w:val="Normal"/>
    <w:qFormat/>
    <w:pPr>
      <w:suppressLineNumbers/>
      <w:spacing w:before="120" w:after="120"/>
    </w:pPr>
    <w:rPr>
      <w:rFonts w:cs="Arial"/>
      <w:i/>
      <w:iCs/>
      <w:sz w:val="24"/>
      <w:szCs w:val="24"/>
    </w:rPr>
  </w:style>
  <w:style w:type="paragraph" w:styleId="Caption1111111">
    <w:name w:val="Caption1111111"/>
    <w:basedOn w:val="Normal"/>
    <w:qFormat/>
    <w:pPr>
      <w:suppressLineNumbers/>
      <w:spacing w:before="120" w:after="120"/>
    </w:pPr>
    <w:rPr>
      <w:rFonts w:cs="Arial"/>
      <w:i/>
      <w:iCs/>
      <w:sz w:val="24"/>
      <w:szCs w:val="24"/>
    </w:rPr>
  </w:style>
  <w:style w:type="paragraph" w:styleId="Caption11111111">
    <w:name w:val="Caption11111111"/>
    <w:basedOn w:val="Normal"/>
    <w:qFormat/>
    <w:pPr>
      <w:suppressLineNumbers/>
      <w:spacing w:before="120" w:after="120"/>
    </w:pPr>
    <w:rPr>
      <w:rFonts w:cs="Arial"/>
      <w:i/>
      <w:iCs/>
      <w:sz w:val="24"/>
      <w:szCs w:val="24"/>
    </w:rPr>
  </w:style>
  <w:style w:type="paragraph" w:styleId="Caption111111111">
    <w:name w:val="Caption111111111"/>
    <w:basedOn w:val="Normal"/>
    <w:qFormat/>
    <w:pPr>
      <w:suppressLineNumbers/>
      <w:spacing w:before="120" w:after="120"/>
    </w:pPr>
    <w:rPr>
      <w:rFonts w:cs="Arial"/>
      <w:i/>
      <w:iCs/>
      <w:sz w:val="24"/>
      <w:szCs w:val="24"/>
    </w:rPr>
  </w:style>
  <w:style w:type="paragraph" w:styleId="Caption1111111111">
    <w:name w:val="Caption1111111111"/>
    <w:basedOn w:val="Normal"/>
    <w:qFormat/>
    <w:pPr>
      <w:suppressLineNumbers/>
      <w:spacing w:before="120" w:after="120"/>
    </w:pPr>
    <w:rPr>
      <w:rFonts w:cs="Arial"/>
      <w:i/>
      <w:iCs/>
      <w:sz w:val="24"/>
      <w:szCs w:val="24"/>
    </w:rPr>
  </w:style>
  <w:style w:type="paragraph" w:styleId="BodyText2">
    <w:name w:val="Body Text 2"/>
    <w:basedOn w:val="Normal"/>
    <w:qFormat/>
    <w:pPr>
      <w:suppressAutoHyphens w:val="true"/>
      <w:spacing w:lineRule="auto" w:line="240" w:before="0" w:after="0"/>
      <w:ind w:firstLine="720" w:start="0" w:end="0"/>
      <w:jc w:val="center"/>
    </w:pPr>
    <w:rPr>
      <w:rFonts w:ascii="Times New Roman" w:hAnsi="Times New Roman" w:eastAsia="Times New Roman" w:cs="Times New Roman"/>
      <w:sz w:val="24"/>
      <w:szCs w:val="20"/>
      <w:lang w:eastAsia="zh-CN"/>
    </w:rPr>
  </w:style>
  <w:style w:type="paragraph" w:styleId="211">
    <w:name w:val="Основной текст 21"/>
    <w:basedOn w:val="Normal"/>
    <w:qFormat/>
    <w:pPr>
      <w:spacing w:lineRule="exact" w:line="240" w:before="0" w:after="0"/>
      <w:ind w:firstLine="720" w:start="0" w:end="0"/>
      <w:jc w:val="center"/>
    </w:pPr>
    <w:rPr>
      <w:rFonts w:ascii="Times New Roman" w:hAnsi="Times New Roman" w:eastAsia="Times New Roman" w:cs="Times New Roman"/>
      <w:szCs w:val="20"/>
    </w:rPr>
  </w:style>
  <w:style w:type="paragraph" w:styleId="Textbody">
    <w:name w:val="Text body"/>
    <w:qFormat/>
    <w:pPr>
      <w:widowControl w:val="false"/>
      <w:suppressAutoHyphens w:val="true"/>
      <w:kinsoku w:val="true"/>
      <w:overflowPunct w:val="true"/>
      <w:autoSpaceDE w:val="true"/>
      <w:bidi w:val="0"/>
      <w:jc w:val="both"/>
      <w:textAlignment w:val="baseline"/>
    </w:pPr>
    <w:rPr>
      <w:rFonts w:ascii="Times New Roman" w:hAnsi="Times New Roman" w:eastAsia="Times New Roman" w:cs="Times New Roman"/>
      <w:color w:val="auto"/>
      <w:kern w:val="2"/>
      <w:sz w:val="24"/>
      <w:szCs w:val="24"/>
      <w:lang w:val="uk-UA" w:eastAsia="zh-CN" w:bidi="hi-IN"/>
    </w:rPr>
  </w:style>
  <w:style w:type="paragraph" w:styleId="Style23">
    <w:name w:val="Название"/>
    <w:basedOn w:val="Normal"/>
    <w:qFormat/>
    <w:pPr>
      <w:spacing w:before="120" w:after="120"/>
    </w:pPr>
    <w:rPr>
      <w:rFonts w:cs="FreeSans"/>
      <w:i/>
      <w:iCs/>
    </w:rPr>
  </w:style>
  <w:style w:type="paragraph" w:styleId="Style24">
    <w:name w:val="Указатель"/>
    <w:basedOn w:val="Normal"/>
    <w:qFormat/>
    <w:pPr/>
    <w:rPr>
      <w:rFonts w:cs="FreeSans"/>
    </w:rPr>
  </w:style>
  <w:style w:type="paragraph" w:styleId="Style25">
    <w:name w:val="Название объекта"/>
    <w:qFormat/>
    <w:pPr>
      <w:widowControl w:val="false"/>
      <w:suppressAutoHyphens w:val="true"/>
      <w:kinsoku w:val="true"/>
      <w:overflowPunct w:val="true"/>
      <w:autoSpaceDE w:val="true"/>
      <w:bidi w:val="0"/>
      <w:spacing w:before="120" w:after="120"/>
      <w:textAlignment w:val="baseline"/>
    </w:pPr>
    <w:rPr>
      <w:rFonts w:ascii="Times New Roman" w:hAnsi="Times New Roman" w:eastAsia="Times New Roman" w:cs="Lohit Hindi"/>
      <w:i/>
      <w:iCs/>
      <w:color w:val="auto"/>
      <w:kern w:val="2"/>
      <w:sz w:val="24"/>
      <w:szCs w:val="24"/>
      <w:lang w:val="ru-RU" w:eastAsia="zh-CN" w:bidi="hi-IN"/>
    </w:rPr>
  </w:style>
  <w:style w:type="paragraph" w:styleId="22">
    <w:name w:val="Указатель2"/>
    <w:qFormat/>
    <w:pPr>
      <w:widowControl w:val="false"/>
      <w:suppressAutoHyphens w:val="true"/>
      <w:kinsoku w:val="true"/>
      <w:overflowPunct w:val="true"/>
      <w:autoSpaceDE w:val="true"/>
      <w:bidi w:val="0"/>
      <w:textAlignment w:val="baseline"/>
    </w:pPr>
    <w:rPr>
      <w:rFonts w:ascii="Times New Roman" w:hAnsi="Times New Roman" w:eastAsia="Times New Roman" w:cs="Lohit Hindi"/>
      <w:color w:val="auto"/>
      <w:kern w:val="2"/>
      <w:sz w:val="24"/>
      <w:szCs w:val="24"/>
      <w:lang w:val="ru-RU" w:eastAsia="zh-CN" w:bidi="hi-IN"/>
    </w:rPr>
  </w:style>
  <w:style w:type="paragraph" w:styleId="23">
    <w:name w:val="Название объекта2"/>
    <w:qFormat/>
    <w:pPr>
      <w:widowControl w:val="false"/>
      <w:suppressAutoHyphens w:val="true"/>
      <w:kinsoku w:val="true"/>
      <w:overflowPunct w:val="true"/>
      <w:autoSpaceDE w:val="true"/>
      <w:bidi w:val="0"/>
      <w:spacing w:before="120" w:after="120"/>
      <w:textAlignment w:val="baseline"/>
    </w:pPr>
    <w:rPr>
      <w:rFonts w:ascii="Times New Roman" w:hAnsi="Times New Roman" w:eastAsia="Times New Roman" w:cs="Lohit Hindi"/>
      <w:i/>
      <w:iCs/>
      <w:color w:val="auto"/>
      <w:kern w:val="2"/>
      <w:sz w:val="24"/>
      <w:szCs w:val="24"/>
      <w:lang w:val="ru-RU" w:eastAsia="zh-CN" w:bidi="hi-IN"/>
    </w:rPr>
  </w:style>
  <w:style w:type="paragraph" w:styleId="11">
    <w:name w:val="Указатель1"/>
    <w:qFormat/>
    <w:pPr>
      <w:widowControl w:val="false"/>
      <w:suppressAutoHyphens w:val="true"/>
      <w:kinsoku w:val="true"/>
      <w:overflowPunct w:val="true"/>
      <w:autoSpaceDE w:val="true"/>
      <w:bidi w:val="0"/>
      <w:textAlignment w:val="baseline"/>
    </w:pPr>
    <w:rPr>
      <w:rFonts w:ascii="Times New Roman" w:hAnsi="Times New Roman" w:eastAsia="Times New Roman" w:cs="Lohit Hindi"/>
      <w:color w:val="auto"/>
      <w:kern w:val="2"/>
      <w:sz w:val="24"/>
      <w:szCs w:val="24"/>
      <w:lang w:val="ru-RU" w:eastAsia="zh-CN" w:bidi="hi-IN"/>
    </w:rPr>
  </w:style>
  <w:style w:type="paragraph" w:styleId="12">
    <w:name w:val="Название объекта1"/>
    <w:qFormat/>
    <w:pPr>
      <w:widowControl w:val="false"/>
      <w:suppressAutoHyphens w:val="true"/>
      <w:kinsoku w:val="true"/>
      <w:overflowPunct w:val="true"/>
      <w:autoSpaceDE w:val="true"/>
      <w:bidi w:val="0"/>
      <w:jc w:val="center"/>
      <w:textAlignment w:val="baseline"/>
    </w:pPr>
    <w:rPr>
      <w:rFonts w:ascii="Times New Roman" w:hAnsi="Times New Roman" w:eastAsia="Times New Roman" w:cs="Times New Roman"/>
      <w:b/>
      <w:bCs/>
      <w:color w:val="auto"/>
      <w:kern w:val="2"/>
      <w:sz w:val="24"/>
      <w:szCs w:val="24"/>
      <w:lang w:val="uk-UA" w:eastAsia="zh-CN" w:bidi="hi-IN"/>
    </w:rPr>
  </w:style>
  <w:style w:type="paragraph" w:styleId="Style26">
    <w:name w:val="Знак Знак Знак Знак"/>
    <w:qFormat/>
    <w:pPr>
      <w:widowControl w:val="false"/>
      <w:suppressAutoHyphens w:val="true"/>
      <w:kinsoku w:val="true"/>
      <w:overflowPunct w:val="true"/>
      <w:autoSpaceDE w:val="true"/>
      <w:bidi w:val="0"/>
      <w:textAlignment w:val="baseline"/>
    </w:pPr>
    <w:rPr>
      <w:rFonts w:ascii="Verdana" w:hAnsi="Verdana" w:eastAsia="Times New Roman" w:cs="Verdana"/>
      <w:color w:val="auto"/>
      <w:kern w:val="2"/>
      <w:sz w:val="20"/>
      <w:szCs w:val="20"/>
      <w:lang w:val="en-US" w:eastAsia="zh-CN" w:bidi="hi-IN"/>
    </w:rPr>
  </w:style>
  <w:style w:type="paragraph" w:styleId="Style27">
    <w:name w:val="Текст выноски"/>
    <w:qFormat/>
    <w:pPr>
      <w:widowControl w:val="false"/>
      <w:suppressAutoHyphens w:val="true"/>
      <w:kinsoku w:val="true"/>
      <w:overflowPunct w:val="true"/>
      <w:autoSpaceDE w:val="true"/>
      <w:bidi w:val="0"/>
      <w:textAlignment w:val="baseline"/>
    </w:pPr>
    <w:rPr>
      <w:rFonts w:ascii="Tahoma" w:hAnsi="Tahoma" w:eastAsia="Times New Roman" w:cs="Tahoma"/>
      <w:color w:val="auto"/>
      <w:kern w:val="2"/>
      <w:sz w:val="16"/>
      <w:szCs w:val="16"/>
      <w:lang w:val="ru-RU" w:eastAsia="zh-CN" w:bidi="hi-IN"/>
    </w:rPr>
  </w:style>
  <w:style w:type="paragraph" w:styleId="Style28">
    <w:name w:val="Знак"/>
    <w:basedOn w:val="Normal"/>
    <w:qFormat/>
    <w:pPr>
      <w:suppressAutoHyphens w:val="false"/>
      <w:textAlignment w:val="auto"/>
    </w:pPr>
    <w:rPr>
      <w:rFonts w:ascii="Verdana" w:hAnsi="Verdana" w:eastAsia="Times New Roman" w:cs="Verdana"/>
      <w:sz w:val="20"/>
      <w:szCs w:val="20"/>
      <w:lang w:val="en-US"/>
    </w:rPr>
  </w:style>
  <w:style w:type="paragraph" w:styleId="HTML1">
    <w:name w:val="Стандартный HTML"/>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textAlignment w:val="auto"/>
    </w:pPr>
    <w:rPr>
      <w:rFonts w:ascii="Arial Unicode MS" w:hAnsi="Arial Unicode MS" w:eastAsia="Arial Unicode MS" w:cs="Arial Unicode MS"/>
      <w:sz w:val="20"/>
      <w:szCs w:val="20"/>
    </w:rPr>
  </w:style>
  <w:style w:type="paragraph" w:styleId="Style29">
    <w:name w:val="Без интервала"/>
    <w:qFormat/>
    <w:pPr>
      <w:widowControl/>
      <w:suppressAutoHyphens w:val="true"/>
      <w:kinsoku w:val="true"/>
      <w:overflowPunct w:val="true"/>
      <w:autoSpaceDE w:val="true"/>
      <w:bidi w:val="0"/>
      <w:ind w:hanging="0" w:start="-34" w:end="0"/>
      <w:jc w:val="both"/>
    </w:pPr>
    <w:rPr>
      <w:rFonts w:ascii="Times New Roman" w:hAnsi="Times New Roman" w:eastAsia="Calibri" w:cs="Times New Roman"/>
      <w:color w:val="auto"/>
      <w:kern w:val="2"/>
      <w:sz w:val="28"/>
      <w:szCs w:val="28"/>
      <w:lang w:val="uk-UA" w:eastAsia="zh-CN" w:bidi="ar-SA"/>
    </w:rPr>
  </w:style>
  <w:style w:type="paragraph" w:styleId="Style30">
    <w:name w:val="Знак Знак Знак Знак Знак Знак Знак Знак Знак Знак Знак Знак Знак Знак Знак Знак Знак Знак Знак Знак Знак Знак"/>
    <w:basedOn w:val="Normal"/>
    <w:qFormat/>
    <w:pPr>
      <w:suppressAutoHyphens w:val="false"/>
      <w:textAlignment w:val="auto"/>
    </w:pPr>
    <w:rPr>
      <w:rFonts w:ascii="Verdana" w:hAnsi="Verdana" w:eastAsia="Times New Roman" w:cs="Verdana"/>
      <w:color w:val="000000"/>
      <w:sz w:val="20"/>
      <w:szCs w:val="20"/>
      <w:lang w:val="en-US"/>
    </w:rPr>
  </w:style>
  <w:style w:type="paragraph" w:styleId="CharChar">
    <w:name w:val="Char Знак Знак Char Знак Знак Знак Знак Знак Знак Знак Знак Знак Знак Знак Знак Знак Знак Знак Знак Знак Знак Знак"/>
    <w:basedOn w:val="Normal"/>
    <w:qFormat/>
    <w:pPr>
      <w:suppressAutoHyphens w:val="false"/>
      <w:textAlignment w:val="auto"/>
    </w:pPr>
    <w:rPr>
      <w:rFonts w:ascii="Verdana" w:hAnsi="Verdana" w:eastAsia="Times New Roman" w:cs="Times New Roman"/>
      <w:sz w:val="20"/>
      <w:szCs w:val="20"/>
      <w:lang w:val="en-US"/>
    </w:rPr>
  </w:style>
  <w:style w:type="paragraph" w:styleId="13">
    <w:name w:val="Знак Знак1"/>
    <w:basedOn w:val="Normal"/>
    <w:qFormat/>
    <w:pPr>
      <w:suppressAutoHyphens w:val="false"/>
      <w:textAlignment w:val="auto"/>
    </w:pPr>
    <w:rPr>
      <w:rFonts w:ascii="Verdana" w:hAnsi="Verdana" w:eastAsia="Times New Roman" w:cs="Verdana"/>
      <w:sz w:val="20"/>
      <w:szCs w:val="20"/>
      <w:lang w:val="en-US"/>
    </w:rPr>
  </w:style>
  <w:style w:type="paragraph" w:styleId="Style31">
    <w:name w:val="Заголовок таблицы"/>
    <w:qFormat/>
    <w:pPr>
      <w:widowControl w:val="false"/>
      <w:suppressAutoHyphens w:val="true"/>
      <w:kinsoku w:val="true"/>
      <w:overflowPunct w:val="true"/>
      <w:autoSpaceDE w:val="true"/>
      <w:bidi w:val="0"/>
      <w:jc w:val="center"/>
    </w:pPr>
    <w:rPr>
      <w:rFonts w:ascii="Liberation Serif;Times New Roman" w:hAnsi="Liberation Serif;Times New Roman" w:eastAsia="NSimSun" w:cs="Arial"/>
      <w:b/>
      <w:bCs/>
      <w:color w:val="auto"/>
      <w:kern w:val="2"/>
      <w:sz w:val="24"/>
      <w:szCs w:val="24"/>
      <w:lang w:val="uk-UA" w:eastAsia="zh-CN" w:bidi="hi-IN"/>
    </w:rPr>
  </w:style>
  <w:style w:type="paragraph" w:styleId="Style32">
    <w:name w:val="Содержимое таблицы"/>
    <w:basedOn w:val="Normal"/>
    <w:qFormat/>
    <w:pPr/>
    <w:rPr/>
  </w:style>
  <w:style w:type="paragraph" w:styleId="14">
    <w:name w:val="Абзац списка1"/>
    <w:basedOn w:val="Normal"/>
    <w:qFormat/>
    <w:pPr>
      <w:spacing w:lineRule="auto" w:line="276" w:before="0" w:after="200"/>
      <w:ind w:hanging="0" w:start="720" w:end="0"/>
    </w:pPr>
    <w:rPr>
      <w:rFonts w:ascii="Calibri" w:hAnsi="Calibri" w:cs="Calibri"/>
      <w:sz w:val="22"/>
      <w:szCs w:val="22"/>
      <w:lang w:val="ru-RU"/>
    </w:rPr>
  </w:style>
  <w:style w:type="paragraph" w:styleId="Style33">
    <w:name w:val="Содержимое врезки"/>
    <w:basedOn w:val="Normal"/>
    <w:qFormat/>
    <w:pPr/>
    <w:rPr/>
  </w:style>
  <w:style w:type="paragraph" w:styleId="NoSpacing">
    <w:name w:val="No Spacing"/>
    <w:qFormat/>
    <w:pPr>
      <w:widowControl/>
      <w:suppressAutoHyphens w:val="true"/>
      <w:kinsoku w:val="true"/>
      <w:overflowPunct w:val="true"/>
      <w:autoSpaceDE w:val="true"/>
      <w:bidi w:val="0"/>
      <w:spacing w:lineRule="auto" w:line="240" w:before="0" w:after="0"/>
      <w:jc w:val="start"/>
    </w:pPr>
    <w:rPr>
      <w:rFonts w:ascii="Liberation Serif;Times New Roman" w:hAnsi="Liberation Serif;Times New Roman" w:eastAsia="NSimSun" w:cs="Arial"/>
      <w:color w:val="auto"/>
      <w:kern w:val="2"/>
      <w:sz w:val="24"/>
      <w:szCs w:val="24"/>
      <w:lang w:val="uk-UA" w:eastAsia="zh-CN" w:bidi="hi-IN"/>
    </w:rPr>
  </w:style>
  <w:style w:type="paragraph" w:styleId="Style34">
    <w:name w:val="Обычный"/>
    <w:qFormat/>
    <w:pPr>
      <w:widowControl w:val="false"/>
      <w:suppressAutoHyphens w:val="true"/>
      <w:kinsoku w:val="true"/>
      <w:overflowPunct w:val="true"/>
      <w:autoSpaceDE w:val="true"/>
      <w:bidi w:val="0"/>
      <w:jc w:val="start"/>
    </w:pPr>
    <w:rPr>
      <w:rFonts w:ascii="Liberation Serif;Times New Roman" w:hAnsi="Liberation Serif;Times New Roman" w:eastAsia="NSimSun" w:cs="Arial"/>
      <w:color w:val="auto"/>
      <w:kern w:val="2"/>
      <w:sz w:val="24"/>
      <w:szCs w:val="24"/>
      <w:lang w:val="uk-UA" w:eastAsia="zh-CN" w:bidi="hi-IN"/>
    </w:rPr>
  </w:style>
  <w:style w:type="paragraph" w:styleId="Style35">
    <w:name w:val="Обычный (веб)"/>
    <w:basedOn w:val="Normal"/>
    <w:qFormat/>
    <w:pPr>
      <w:spacing w:before="280" w:after="280"/>
    </w:pPr>
    <w:rPr/>
  </w:style>
  <w:style w:type="paragraph" w:styleId="caption11111111111">
    <w:name w:val="caption11111111111"/>
    <w:basedOn w:val="Normal"/>
    <w:qFormat/>
    <w:pPr>
      <w:spacing w:before="120" w:after="120"/>
    </w:pPr>
    <w:rPr>
      <w:rFonts w:cs="Arial"/>
      <w:i/>
      <w:iC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15">
    <w:name w:val="Заголовок1"/>
    <w:basedOn w:val="Normal"/>
    <w:qFormat/>
    <w:pPr>
      <w:keepNext w:val="true"/>
      <w:spacing w:before="240" w:after="120"/>
    </w:pPr>
    <w:rPr>
      <w:rFonts w:ascii="Liberation Sans;Arial" w:hAnsi="Liberation Sans;Arial" w:eastAsia="Microsoft YaHei" w:cs="Arial"/>
      <w:sz w:val="28"/>
      <w:szCs w:val="28"/>
    </w:rPr>
  </w:style>
  <w:style w:type="paragraph" w:styleId="Standard1">
    <w:name w:val="Standard1"/>
    <w:qFormat/>
    <w:pPr>
      <w:widowControl/>
      <w:suppressAutoHyphens w:val="true"/>
      <w:kinsoku w:val="true"/>
      <w:overflowPunct w:val="true"/>
      <w:autoSpaceDE w:val="true"/>
      <w:bidi w:val="0"/>
      <w:jc w:val="start"/>
      <w:textAlignment w:val="baseline"/>
    </w:pPr>
    <w:rPr>
      <w:rFonts w:ascii="Times New Roman" w:hAnsi="Times New Roman" w:eastAsia="Times New Roman" w:cs="Times New Roman"/>
      <w:color w:val="auto"/>
      <w:kern w:val="2"/>
      <w:sz w:val="24"/>
      <w:szCs w:val="24"/>
      <w:lang w:val="ru-RU" w:eastAsia="zh-CN" w:bidi="ar-SA"/>
    </w:rPr>
  </w:style>
  <w:style w:type="paragraph" w:styleId="caption11111111111111111111">
    <w:name w:val="caption11111111111111111111"/>
    <w:basedOn w:val="Normal"/>
    <w:qFormat/>
    <w:pPr>
      <w:spacing w:before="120" w:after="120"/>
    </w:pPr>
    <w:rPr>
      <w:rFonts w:cs="Arial"/>
      <w:i/>
      <w:iCs/>
    </w:rPr>
  </w:style>
  <w:style w:type="paragraph" w:styleId="Caption1111111111111111111">
    <w:name w:val="Caption1111111111111111111"/>
    <w:basedOn w:val="Normal"/>
    <w:qFormat/>
    <w:pPr>
      <w:spacing w:before="120" w:after="120"/>
    </w:pPr>
    <w:rPr>
      <w:rFonts w:cs="Arial"/>
      <w:i/>
      <w:iCs/>
    </w:rPr>
  </w:style>
  <w:style w:type="paragraph" w:styleId="Caption111111111111111111">
    <w:name w:val="Caption111111111111111111"/>
    <w:basedOn w:val="Normal"/>
    <w:qFormat/>
    <w:pPr>
      <w:spacing w:before="120" w:after="120"/>
    </w:pPr>
    <w:rPr>
      <w:rFonts w:cs="Arial"/>
      <w:i/>
      <w:iCs/>
    </w:rPr>
  </w:style>
  <w:style w:type="paragraph" w:styleId="Caption11111111111111111">
    <w:name w:val="Caption11111111111111111"/>
    <w:basedOn w:val="Normal"/>
    <w:qFormat/>
    <w:pPr>
      <w:spacing w:before="120" w:after="120"/>
    </w:pPr>
    <w:rPr>
      <w:rFonts w:cs="Arial"/>
      <w:i/>
      <w:iCs/>
    </w:rPr>
  </w:style>
  <w:style w:type="paragraph" w:styleId="Caption1111111111111111">
    <w:name w:val="Caption1111111111111111"/>
    <w:basedOn w:val="Normal"/>
    <w:qFormat/>
    <w:pPr>
      <w:spacing w:before="120" w:after="120"/>
    </w:pPr>
    <w:rPr>
      <w:rFonts w:cs="Arial"/>
      <w:i/>
      <w:iCs/>
    </w:rPr>
  </w:style>
  <w:style w:type="paragraph" w:styleId="Caption111111111111111">
    <w:name w:val="Caption111111111111111"/>
    <w:basedOn w:val="Normal"/>
    <w:qFormat/>
    <w:pPr>
      <w:spacing w:before="120" w:after="120"/>
    </w:pPr>
    <w:rPr>
      <w:rFonts w:cs="Arial"/>
      <w:i/>
      <w:iCs/>
    </w:rPr>
  </w:style>
  <w:style w:type="paragraph" w:styleId="Caption11111111111111">
    <w:name w:val="Caption11111111111111"/>
    <w:basedOn w:val="Normal"/>
    <w:qFormat/>
    <w:pPr>
      <w:spacing w:before="120" w:after="120"/>
    </w:pPr>
    <w:rPr>
      <w:rFonts w:cs="Arial"/>
      <w:i/>
      <w:iCs/>
    </w:rPr>
  </w:style>
  <w:style w:type="paragraph" w:styleId="Caption1111111111111">
    <w:name w:val="Caption1111111111111"/>
    <w:basedOn w:val="Normal"/>
    <w:qFormat/>
    <w:pPr>
      <w:spacing w:before="120" w:after="120"/>
    </w:pPr>
    <w:rPr>
      <w:rFonts w:cs="Arial"/>
      <w:i/>
      <w:iCs/>
    </w:rPr>
  </w:style>
  <w:style w:type="paragraph" w:styleId="Caption111111111111">
    <w:name w:val="Caption111111111111"/>
    <w:basedOn w:val="Normal"/>
    <w:qFormat/>
    <w:pPr>
      <w:spacing w:before="120" w:after="120"/>
    </w:pPr>
    <w:rPr>
      <w:rFonts w:cs="Arial"/>
      <w:i/>
      <w:iCs/>
    </w:rPr>
  </w:style>
  <w:style w:type="paragraph" w:styleId="Caption111111111112">
    <w:name w:val="Caption111111111112"/>
    <w:basedOn w:val="Normal"/>
    <w:qFormat/>
    <w:pPr>
      <w:spacing w:before="120" w:after="120"/>
    </w:pPr>
    <w:rPr>
      <w:rFonts w:cs="Arial"/>
      <w:i/>
      <w:iCs/>
    </w:rPr>
  </w:style>
  <w:style w:type="paragraph" w:styleId="Caption11111111112">
    <w:name w:val="Caption11111111112"/>
    <w:basedOn w:val="Normal"/>
    <w:qFormat/>
    <w:pPr>
      <w:spacing w:before="120" w:after="120"/>
    </w:pPr>
    <w:rPr>
      <w:rFonts w:cs="Arial"/>
      <w:i/>
      <w:iCs/>
    </w:rPr>
  </w:style>
  <w:style w:type="paragraph" w:styleId="Caption1111111112">
    <w:name w:val="Caption1111111112"/>
    <w:basedOn w:val="Normal"/>
    <w:qFormat/>
    <w:pPr>
      <w:spacing w:before="120" w:after="120"/>
    </w:pPr>
    <w:rPr>
      <w:rFonts w:cs="Arial"/>
      <w:i/>
      <w:iCs/>
    </w:rPr>
  </w:style>
  <w:style w:type="paragraph" w:styleId="Caption111111112">
    <w:name w:val="Caption111111112"/>
    <w:basedOn w:val="Normal"/>
    <w:qFormat/>
    <w:pPr>
      <w:spacing w:before="120" w:after="120"/>
    </w:pPr>
    <w:rPr>
      <w:rFonts w:cs="Arial"/>
      <w:i/>
      <w:iCs/>
    </w:rPr>
  </w:style>
  <w:style w:type="paragraph" w:styleId="Caption11111112">
    <w:name w:val="Caption11111112"/>
    <w:basedOn w:val="Normal"/>
    <w:qFormat/>
    <w:pPr>
      <w:spacing w:before="120" w:after="120"/>
    </w:pPr>
    <w:rPr>
      <w:rFonts w:cs="Arial"/>
      <w:i/>
      <w:iCs/>
    </w:rPr>
  </w:style>
  <w:style w:type="paragraph" w:styleId="Caption1111112">
    <w:name w:val="Caption1111112"/>
    <w:basedOn w:val="Normal"/>
    <w:qFormat/>
    <w:pPr>
      <w:spacing w:before="120" w:after="120"/>
    </w:pPr>
    <w:rPr>
      <w:rFonts w:cs="Arial"/>
      <w:i/>
      <w:iCs/>
    </w:rPr>
  </w:style>
  <w:style w:type="paragraph" w:styleId="Caption111112">
    <w:name w:val="Caption111112"/>
    <w:basedOn w:val="Normal"/>
    <w:qFormat/>
    <w:pPr>
      <w:spacing w:before="120" w:after="120"/>
    </w:pPr>
    <w:rPr>
      <w:rFonts w:cs="Arial"/>
      <w:i/>
      <w:iCs/>
    </w:rPr>
  </w:style>
  <w:style w:type="paragraph" w:styleId="Caption11112">
    <w:name w:val="Caption11112"/>
    <w:basedOn w:val="Normal"/>
    <w:qFormat/>
    <w:pPr>
      <w:spacing w:before="120" w:after="120"/>
    </w:pPr>
    <w:rPr>
      <w:rFonts w:cs="Arial"/>
      <w:i/>
      <w:iCs/>
    </w:rPr>
  </w:style>
  <w:style w:type="paragraph" w:styleId="Header">
    <w:name w:val="header"/>
    <w:basedOn w:val="Style22"/>
    <w:pPr>
      <w:suppressLineNumbers/>
      <w:tabs>
        <w:tab w:val="clear" w:pos="4819"/>
        <w:tab w:val="clear" w:pos="9638"/>
        <w:tab w:val="center" w:pos="4677" w:leader="none"/>
        <w:tab w:val="right" w:pos="9355"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uk.wikipedia.org/wiki/&#1057;&#1077;&#1083;&#1080;&#1097;&#1077;_&#1084;&#1110;&#1089;&#1100;&#1082;&#1086;&#1075;&#1086;_&#1090;&#1080;&#1087;&#1091;" TargetMode="External"/><Relationship Id="rId4" Type="http://schemas.openxmlformats.org/officeDocument/2006/relationships/hyperlink" Target="https://dp.isuo.org/schools/view/id/2796" TargetMode="External"/><Relationship Id="rId5" Type="http://schemas.openxmlformats.org/officeDocument/2006/relationships/hyperlink" Target="https://dp.isuo.org/schools/view/id/2804" TargetMode="External"/><Relationship Id="rId6" Type="http://schemas.openxmlformats.org/officeDocument/2006/relationships/hyperlink" Target="https://dp.isuo.org/schools/view/id/2792" TargetMode="External"/><Relationship Id="rId7" Type="http://schemas.openxmlformats.org/officeDocument/2006/relationships/hyperlink" Target="https://dp.isuo.org/schools/view/id/2824" TargetMode="External"/><Relationship Id="rId8" Type="http://schemas.openxmlformats.org/officeDocument/2006/relationships/hyperlink" Target="https://dp.isuo.org/schools/view/id/487" TargetMode="External"/><Relationship Id="rId9" Type="http://schemas.openxmlformats.org/officeDocument/2006/relationships/hyperlink" Target="https://dp.isuo.org/schools/view/id/2797" TargetMode="External"/><Relationship Id="rId10" Type="http://schemas.openxmlformats.org/officeDocument/2006/relationships/hyperlink" Target="https://dp.isuo.org/schools/view/id/2801" TargetMode="External"/><Relationship Id="rId11" Type="http://schemas.openxmlformats.org/officeDocument/2006/relationships/hyperlink" Target="https://dp.isuo.org/schools/view/id/3491" TargetMode="External"/><Relationship Id="rId12" Type="http://schemas.openxmlformats.org/officeDocument/2006/relationships/hyperlink" Target="https://dp.isuo.org/preschools/view/id/58962" TargetMode="External"/><Relationship Id="rId13" Type="http://schemas.openxmlformats.org/officeDocument/2006/relationships/hyperlink" Target="https://dp.isuo.org/preschools/view/id/40595" TargetMode="External"/><Relationship Id="rId14" Type="http://schemas.openxmlformats.org/officeDocument/2006/relationships/hyperlink" Target="https://dp.isuo.org/preschools/view/id/40323" TargetMode="External"/><Relationship Id="rId15" Type="http://schemas.openxmlformats.org/officeDocument/2006/relationships/hyperlink" Target="https://dp.isuo.org/preschools/view/id/40326" TargetMode="External"/><Relationship Id="rId16" Type="http://schemas.openxmlformats.org/officeDocument/2006/relationships/hyperlink" Target="https://dp.isuo.org/preschools/view/id/40612" TargetMode="External"/><Relationship Id="rId17" Type="http://schemas.openxmlformats.org/officeDocument/2006/relationships/hyperlink" Target="https://dp.isuo.org/preschools/view/id/40348" TargetMode="External"/><Relationship Id="rId18" Type="http://schemas.openxmlformats.org/officeDocument/2006/relationships/hyperlink" Target="https://dp.isuo.org/preschools/view/id/40324" TargetMode="External"/><Relationship Id="rId19" Type="http://schemas.openxmlformats.org/officeDocument/2006/relationships/hyperlink" Target="https://dp.isuo.org/zpo/view/id/100539" TargetMode="External"/><Relationship Id="rId20" Type="http://schemas.openxmlformats.org/officeDocument/2006/relationships/hyperlink" Target="https://dp.isuo.org/zpo/view/id/100651" TargetMode="External"/><Relationship Id="rId21" Type="http://schemas.openxmlformats.org/officeDocument/2006/relationships/chart" Target="charts/chart1.xml"/><Relationship Id="rId22" Type="http://schemas.openxmlformats.org/officeDocument/2006/relationships/chart" Target="charts/chart2.xml"/><Relationship Id="rId23" Type="http://schemas.openxmlformats.org/officeDocument/2006/relationships/chart" Target="charts/chart3.xml"/><Relationship Id="rId24" Type="http://schemas.openxmlformats.org/officeDocument/2006/relationships/chart" Target="charts/chart4.xml"/><Relationship Id="rId25" Type="http://schemas.openxmlformats.org/officeDocument/2006/relationships/image" Target="media/image2.png"/><Relationship Id="rId26" Type="http://schemas.openxmlformats.org/officeDocument/2006/relationships/image" Target="media/image2.png"/><Relationship Id="rId27" Type="http://schemas.openxmlformats.org/officeDocument/2006/relationships/chart" Target="charts/chart5.xml"/><Relationship Id="rId28" Type="http://schemas.openxmlformats.org/officeDocument/2006/relationships/chart" Target="charts/chart6.xml"/><Relationship Id="rId29" Type="http://schemas.openxmlformats.org/officeDocument/2006/relationships/chart" Target="charts/chart7.xml"/><Relationship Id="rId30" Type="http://schemas.openxmlformats.org/officeDocument/2006/relationships/chart" Target="charts/chart8.xml"/><Relationship Id="rId31" Type="http://schemas.openxmlformats.org/officeDocument/2006/relationships/chart" Target="charts/chart9.xml"/><Relationship Id="rId32" Type="http://schemas.openxmlformats.org/officeDocument/2006/relationships/chart" Target="charts/chart10.xml"/><Relationship Id="rId33" Type="http://schemas.openxmlformats.org/officeDocument/2006/relationships/chart" Target="charts/chart11.xml"/><Relationship Id="rId34" Type="http://schemas.openxmlformats.org/officeDocument/2006/relationships/chart" Target="charts/chart12.xml"/><Relationship Id="rId35" Type="http://schemas.openxmlformats.org/officeDocument/2006/relationships/header" Target="header1.xml"/><Relationship Id="rId36" Type="http://schemas.openxmlformats.org/officeDocument/2006/relationships/header" Target="header2.xml"/><Relationship Id="rId37" Type="http://schemas.openxmlformats.org/officeDocument/2006/relationships/header" Target="header3.xml"/><Relationship Id="rId38" Type="http://schemas.openxmlformats.org/officeDocument/2006/relationships/header" Target="header4.xml"/><Relationship Id="rId39" Type="http://schemas.openxmlformats.org/officeDocument/2006/relationships/header" Target="header5.xml"/><Relationship Id="rId40" Type="http://schemas.openxmlformats.org/officeDocument/2006/relationships/header" Target="header6.xml"/><Relationship Id="rId41" Type="http://schemas.openxmlformats.org/officeDocument/2006/relationships/header" Target="header7.xml"/><Relationship Id="rId42" Type="http://schemas.openxmlformats.org/officeDocument/2006/relationships/header" Target="header8.xml"/><Relationship Id="rId43" Type="http://schemas.openxmlformats.org/officeDocument/2006/relationships/header" Target="header9.xml"/><Relationship Id="rId44" Type="http://schemas.openxmlformats.org/officeDocument/2006/relationships/header" Target="header10.xml"/><Relationship Id="rId45" Type="http://schemas.openxmlformats.org/officeDocument/2006/relationships/header" Target="header11.xml"/><Relationship Id="rId46" Type="http://schemas.openxmlformats.org/officeDocument/2006/relationships/header" Target="header12.xml"/><Relationship Id="rId47" Type="http://schemas.openxmlformats.org/officeDocument/2006/relationships/header" Target="header13.xml"/><Relationship Id="rId48" Type="http://schemas.openxmlformats.org/officeDocument/2006/relationships/header" Target="header14.xml"/><Relationship Id="rId49" Type="http://schemas.openxmlformats.org/officeDocument/2006/relationships/header" Target="header15.xml"/><Relationship Id="rId50" Type="http://schemas.openxmlformats.org/officeDocument/2006/relationships/header" Target="header16.xml"/><Relationship Id="rId51" Type="http://schemas.openxmlformats.org/officeDocument/2006/relationships/header" Target="header17.xml"/><Relationship Id="rId52" Type="http://schemas.openxmlformats.org/officeDocument/2006/relationships/header" Target="header18.xml"/><Relationship Id="rId53" Type="http://schemas.openxmlformats.org/officeDocument/2006/relationships/header" Target="header19.xml"/><Relationship Id="rId54" Type="http://schemas.openxmlformats.org/officeDocument/2006/relationships/header" Target="header20.xml"/><Relationship Id="rId55" Type="http://schemas.openxmlformats.org/officeDocument/2006/relationships/header" Target="header21.xml"/><Relationship Id="rId56" Type="http://schemas.openxmlformats.org/officeDocument/2006/relationships/header" Target="header22.xml"/><Relationship Id="rId57" Type="http://schemas.openxmlformats.org/officeDocument/2006/relationships/header" Target="header23.xml"/><Relationship Id="rId58" Type="http://schemas.openxmlformats.org/officeDocument/2006/relationships/header" Target="header24.xml"/><Relationship Id="rId59" Type="http://schemas.openxmlformats.org/officeDocument/2006/relationships/hyperlink" Target="https://zakon.rada.gov.ua/" TargetMode="External"/><Relationship Id="rId60" Type="http://schemas.openxmlformats.org/officeDocument/2006/relationships/hyperlink" Target="https://www.kmu.gov.ua/" TargetMode="External"/><Relationship Id="rId61" Type="http://schemas.openxmlformats.org/officeDocument/2006/relationships/hyperlink" Target="https://minfin.com.ua/" TargetMode="External"/><Relationship Id="rId62" Type="http://schemas.openxmlformats.org/officeDocument/2006/relationships/hyperlink" Target="https://saee.gov.ua/" TargetMode="External"/><Relationship Id="rId63" Type="http://schemas.openxmlformats.org/officeDocument/2006/relationships/hyperlink" Target="https://www.nerc.gov.ua/" TargetMode="External"/><Relationship Id="rId64" Type="http://schemas.openxmlformats.org/officeDocument/2006/relationships/hyperlink" Target="https://com-east.eu/" TargetMode="External"/><Relationship Id="rId65" Type="http://schemas.openxmlformats.org/officeDocument/2006/relationships/hyperlink" Target="https://adm.dp.gov.ua/" TargetMode="External"/><Relationship Id="rId66" Type="http://schemas.openxmlformats.org/officeDocument/2006/relationships/hyperlink" Target="https://join.dtek.com/ua/krivorizka-tes/" TargetMode="External"/><Relationship Id="rId67" Type="http://schemas.openxmlformats.org/officeDocument/2006/relationships/hyperlink" Target="https://pokrovvodokanal.net/" TargetMode="External"/><Relationship Id="rId68" Type="http://schemas.openxmlformats.org/officeDocument/2006/relationships/hyperlink" Target="https://www.calculat.org/ua/" TargetMode="External"/><Relationship Id="rId69" Type="http://schemas.openxmlformats.org/officeDocument/2006/relationships/header" Target="header25.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charts/_rels/chart1.xml.rels><?xml version="1.0" encoding="UTF-8"?>
<Relationships xmlns="http://schemas.openxmlformats.org/package/2006/relationships"><Relationship Id="rId1" Type="http://schemas.openxmlformats.org/officeDocument/2006/relationships/package" Target="../embeddings/______Microsoft_Excel2.xlsx"/>
</Relationships>
</file>

<file path=word/charts/_rels/chart2.xml.rels><?xml version="1.0" encoding="UTF-8"?>
<Relationships xmlns="http://schemas.openxmlformats.org/package/2006/relationships"><Relationship Id="rId1" Type="http://schemas.openxmlformats.org/officeDocument/2006/relationships/package" Target="../embeddings/______Microsoft_Excel42.xlsx"/>
</Relationships>
</file>

<file path=word/charts/_rels/chart8.xml.rels><?xml version="1.0" encoding="UTF-8"?>
<Relationships xmlns="http://schemas.openxmlformats.org/package/2006/relationships"><Relationship Id="rId1" Type="http://schemas.openxmlformats.org/officeDocument/2006/relationships/chartUserShapes" Target="../drawings/drawing1.xml"/>
</Relationships>
</file>

<file path=word/charts/_rels/chart9.xml.rels><?xml version="1.0" encoding="UTF-8"?>
<Relationships xmlns="http://schemas.openxmlformats.org/package/2006/relationships"><Relationship Id="rId1" Type="http://schemas.openxmlformats.org/officeDocument/2006/relationships/package" Target="../embeddings/______Microsoft_Excel49.xlsx"/>
</Relationships>
</file>

<file path=word/charts/_rels/chart10.xml.rels><?xml version="1.0" encoding="UTF-8"?>
<Relationships xmlns="http://schemas.openxmlformats.org/package/2006/relationships"><Relationship Id="rId1" Type="http://schemas.openxmlformats.org/officeDocument/2006/relationships/package" Target="../embeddings/______Microsoft_Excel50.xlsx"/>
</Relationships>
</file>

<file path=word/charts/_rels/chart11.xml.rels><?xml version="1.0" encoding="UTF-8"?>
<Relationships xmlns="http://schemas.openxmlformats.org/package/2006/relationships"><Relationship Id="rId1" Type="http://schemas.openxmlformats.org/officeDocument/2006/relationships/package" Target="../embeddings/______Microsoft_Excel53.xlsx"/>
</Relationships>
</file>

<file path=word/charts/_rels/chart12.xml.rels><?xml version="1.0" encoding="UTF-8"?>
<Relationships xmlns="http://schemas.openxmlformats.org/package/2006/relationships"><Relationship Id="rId1" Type="http://schemas.openxmlformats.org/officeDocument/2006/relationships/package" Target="../embeddings/______Microsoft_Excel54.xlsx"/>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0793533259286684"/>
          <c:y val="0.0436991869918699"/>
          <c:w val="0.879303961495742"/>
          <c:h val="0.794489611562782"/>
        </c:manualLayout>
      </c:layout>
      <c:areaChart>
        <c:grouping val="stacked"/>
        <c:ser>
          <c:idx val="0"/>
          <c:order val="0"/>
          <c:tx>
            <c:strRef>
              <c:f>label 0</c:f>
              <c:strCache>
                <c:ptCount val="1"/>
                <c:pt idx="0">
                  <c:v>Електрична енергія</c:v>
                </c:pt>
              </c:strCache>
            </c:strRef>
          </c:tx>
          <c:spPr>
            <a:solidFill>
              <a:srgbClr val="FFFF0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13509</c:v>
                </c:pt>
                <c:pt idx="1">
                  <c:v>10819</c:v>
                </c:pt>
                <c:pt idx="2">
                  <c:v>7422</c:v>
                </c:pt>
              </c:numCache>
            </c:numRef>
          </c:val>
        </c:ser>
        <c:ser>
          <c:idx val="1"/>
          <c:order val="1"/>
          <c:tx>
            <c:strRef>
              <c:f>label 1</c:f>
              <c:strCache>
                <c:ptCount val="1"/>
                <c:pt idx="0">
                  <c:v>Природний газ</c:v>
                </c:pt>
              </c:strCache>
            </c:strRef>
          </c:tx>
          <c:spPr>
            <a:solidFill>
              <a:srgbClr val="00B0F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1060</c:v>
                </c:pt>
                <c:pt idx="1">
                  <c:v>2020</c:v>
                </c:pt>
                <c:pt idx="2">
                  <c:v>1767</c:v>
                </c:pt>
              </c:numCache>
            </c:numRef>
          </c:val>
        </c:ser>
        <c:ser>
          <c:idx val="2"/>
          <c:order val="2"/>
          <c:tx>
            <c:strRef>
              <c:f>label 2</c:f>
              <c:strCache>
                <c:ptCount val="1"/>
                <c:pt idx="0">
                  <c:v>Біопаливо та відходи</c:v>
                </c:pt>
              </c:strCache>
            </c:strRef>
          </c:tx>
          <c:spPr>
            <a:solidFill>
              <a:srgbClr val="92D05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83</c:v>
                </c:pt>
                <c:pt idx="1">
                  <c:v>45</c:v>
                </c:pt>
                <c:pt idx="2">
                  <c:v>36</c:v>
                </c:pt>
              </c:numCache>
            </c:numRef>
          </c:val>
        </c:ser>
        <c:ser>
          <c:idx val="3"/>
          <c:order val="3"/>
          <c:tx>
            <c:strRef>
              <c:f>label 3</c:f>
              <c:strCache>
                <c:ptCount val="1"/>
                <c:pt idx="0">
                  <c:v>Вугілля й торф</c:v>
                </c:pt>
              </c:strCache>
            </c:strRef>
          </c:tx>
          <c:spPr>
            <a:solidFill>
              <a:srgbClr val="00000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970</c:v>
                </c:pt>
                <c:pt idx="1">
                  <c:v>761</c:v>
                </c:pt>
                <c:pt idx="2">
                  <c:v>359</c:v>
                </c:pt>
              </c:numCache>
            </c:numRef>
          </c:val>
        </c:ser>
        <c:ser>
          <c:idx val="4"/>
          <c:order val="4"/>
          <c:tx>
            <c:strRef>
              <c:f>label 4</c:f>
              <c:strCache>
                <c:ptCount val="1"/>
                <c:pt idx="0">
                  <c:v>Теплова енергія</c:v>
                </c:pt>
              </c:strCache>
            </c:strRef>
          </c:tx>
          <c:spPr>
            <a:solidFill>
              <a:srgbClr val="FF000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8976</c:v>
                </c:pt>
                <c:pt idx="1">
                  <c:v>9461</c:v>
                </c:pt>
                <c:pt idx="2">
                  <c:v>10818</c:v>
                </c:pt>
              </c:numCache>
            </c:numRef>
          </c:val>
        </c:ser>
        <c:ser>
          <c:idx val="5"/>
          <c:order val="5"/>
          <c:tx>
            <c:strRef>
              <c:f>label 5</c:f>
              <c:strCache>
                <c:ptCount val="1"/>
                <c:pt idx="0">
                  <c:v>Нафтопродукти</c:v>
                </c:pt>
              </c:strCache>
            </c:strRef>
          </c:tx>
          <c:spPr>
            <a:solidFill>
              <a:srgbClr val="7030A0"/>
            </a:solidFill>
            <a:ln w="2556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5</c:f>
              <c:numCache>
                <c:formatCode>General</c:formatCode>
                <c:ptCount val="3"/>
                <c:pt idx="0">
                  <c:v>129</c:v>
                </c:pt>
                <c:pt idx="1">
                  <c:v>125</c:v>
                </c:pt>
                <c:pt idx="2">
                  <c:v>108</c:v>
                </c:pt>
              </c:numCache>
            </c:numRef>
          </c:val>
        </c:ser>
        <c:axId val="71062041"/>
        <c:axId val="67527199"/>
      </c:areaChart>
      <c:catAx>
        <c:axId val="71062041"/>
        <c:scaling>
          <c:orientation val="minMax"/>
        </c:scaling>
        <c:delete val="0"/>
        <c:axPos val="b"/>
        <c:numFmt formatCode="General" sourceLinked="0"/>
        <c:majorTickMark val="none"/>
        <c:minorTickMark val="none"/>
        <c:tickLblPos val="nextTo"/>
        <c:spPr>
          <a:ln cap="rnd" w="9360">
            <a:solidFill>
              <a:srgbClr val="D9D9D9"/>
            </a:solidFill>
            <a:round/>
          </a:ln>
        </c:spPr>
        <c:txPr>
          <a:bodyPr/>
          <a:lstStyle/>
          <a:p>
            <a:pPr>
              <a:defRPr sz="800" b="0" u="none" strike="noStrike">
                <a:solidFill>
                  <a:srgbClr val="000000"/>
                </a:solidFill>
                <a:uFillTx/>
                <a:latin typeface="Century Gothic"/>
              </a:defRPr>
            </a:pPr>
          </a:p>
        </c:txPr>
        <c:crossAx val="67527199"/>
        <c:crosses val="autoZero"/>
        <c:auto val="1"/>
        <c:lblAlgn val="ctr"/>
        <c:lblOffset val="100"/>
        <c:noMultiLvlLbl val="0"/>
      </c:catAx>
      <c:valAx>
        <c:axId val="67527199"/>
        <c:scaling>
          <c:orientation val="minMax"/>
        </c:scaling>
        <c:delete val="0"/>
        <c:axPos val="l"/>
        <c:majorGridlines>
          <c:spPr>
            <a:ln cap="rnd" w="9360">
              <a:solidFill>
                <a:srgbClr val="D9D9D9"/>
              </a:solidFill>
              <a:round/>
            </a:ln>
          </c:spPr>
        </c:majorGridlines>
        <c:numFmt formatCode="#,##0" sourceLinked="0"/>
        <c:majorTickMark val="none"/>
        <c:minorTickMark val="none"/>
        <c:tickLblPos val="nextTo"/>
        <c:spPr>
          <a:ln w="9360">
            <a:noFill/>
          </a:ln>
        </c:spPr>
        <c:txPr>
          <a:bodyPr/>
          <a:lstStyle/>
          <a:p>
            <a:pPr>
              <a:defRPr sz="800" b="0" u="none" strike="noStrike">
                <a:solidFill>
                  <a:srgbClr val="000000"/>
                </a:solidFill>
                <a:uFillTx/>
                <a:latin typeface="Century Gothic"/>
              </a:defRPr>
            </a:pPr>
          </a:p>
        </c:txPr>
        <c:crossAx val="71062041"/>
        <c:crosses val="autoZero"/>
        <c:crossBetween val="midCat"/>
      </c:valAx>
      <c:spPr>
        <a:noFill/>
        <a:ln w="0">
          <a:noFill/>
        </a:ln>
      </c:spPr>
    </c:plotArea>
    <c:legend>
      <c:legendPos val="b"/>
      <c:layout>
        <c:manualLayout>
          <c:xMode val="edge"/>
          <c:yMode val="edge"/>
          <c:x val="0.000123411082315192"/>
          <c:y val="0.926716350496838"/>
          <c:w val="0.997593335390312"/>
          <c:h val="0.0778091473743648"/>
        </c:manualLayout>
      </c:layout>
      <c:overlay val="0"/>
      <c:spPr>
        <a:noFill/>
        <a:ln w="0">
          <a:noFill/>
        </a:ln>
      </c:spPr>
      <c:txPr>
        <a:bodyPr/>
        <a:lstStyle/>
        <a:p>
          <a:pPr>
            <a:defRPr sz="800" b="0" u="none" strike="noStrike">
              <a:solidFill>
                <a:srgbClr val="000000"/>
              </a:solidFill>
              <a:uFillTx/>
              <a:latin typeface="Century Gothic"/>
            </a:defRPr>
          </a:pPr>
        </a:p>
      </c:txPr>
    </c:legend>
    <c:plotVisOnly val="1"/>
    <c:dispBlanksAs val="zero"/>
  </c:chart>
  <c:spPr>
    <a:solidFill>
      <a:srgbClr val="FFFFFF"/>
    </a:solidFill>
    <a:ln w="9360">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pieChart>
        <c:varyColors val="1"/>
        <c:ser>
          <c:idx val="0"/>
          <c:order val="0"/>
          <c:tx>
            <c:strRef>
              <c:f>label 0</c:f>
              <c:strCache>
                <c:ptCount val="1"/>
                <c:pt idx="0">
                  <c:v>Продаж</c:v>
                </c:pt>
              </c:strCache>
            </c:strRef>
          </c:tx>
          <c:spPr>
            <a:solidFill>
              <a:srgbClr val="052F61"/>
            </a:solidFill>
            <a:ln w="0">
              <a:noFill/>
            </a:ln>
          </c:spPr>
          <c:explosion val="0"/>
          <c:dPt>
            <c:idx val="0"/>
            <c:spPr>
              <a:solidFill>
                <a:srgbClr val="FF0000"/>
              </a:solidFill>
              <a:ln w="19080">
                <a:solidFill>
                  <a:srgbClr val="FFFFFF"/>
                </a:solidFill>
                <a:round/>
              </a:ln>
            </c:spPr>
          </c:dPt>
          <c:dPt>
            <c:idx val="1"/>
            <c:spPr>
              <a:solidFill>
                <a:srgbClr val="00B0F0"/>
              </a:solidFill>
              <a:ln w="19080">
                <a:solidFill>
                  <a:srgbClr val="FFFFFF"/>
                </a:solidFill>
                <a:round/>
              </a:ln>
            </c:spPr>
          </c:dPt>
          <c:dPt>
            <c:idx val="2"/>
            <c:spPr>
              <a:solidFill>
                <a:srgbClr val="FFFF00"/>
              </a:solidFill>
              <a:ln w="19080">
                <a:solidFill>
                  <a:srgbClr val="FFFFFF"/>
                </a:solidFill>
                <a:round/>
              </a:ln>
            </c:spPr>
          </c:dPt>
          <c:dPt>
            <c:idx val="3"/>
            <c:spPr>
              <a:solidFill>
                <a:srgbClr val="6A9E1F"/>
              </a:solidFill>
              <a:ln w="19080">
                <a:solidFill>
                  <a:srgbClr val="FFFFFF"/>
                </a:solidFill>
                <a:round/>
              </a:ln>
            </c:spPr>
          </c:dPt>
          <c:dPt>
            <c:idx val="4"/>
            <c:spPr>
              <a:solidFill>
                <a:srgbClr val="7030A0"/>
              </a:solidFill>
              <a:ln w="19080">
                <a:solidFill>
                  <a:srgbClr val="FFFFFF"/>
                </a:solidFill>
                <a:round/>
              </a:ln>
            </c:spPr>
          </c:dPt>
          <c:dPt>
            <c:idx val="5"/>
            <c:spPr>
              <a:solidFill>
                <a:srgbClr val="000000"/>
              </a:solidFill>
              <a:ln w="19080">
                <a:solidFill>
                  <a:srgbClr val="FFFFFF"/>
                </a:solidFill>
                <a:round/>
              </a:ln>
            </c:spPr>
          </c:dPt>
          <c:dLbls>
            <c:dLbl>
              <c:idx val="0"/>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1"/>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2"/>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3"/>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4"/>
              <c:numFmt formatCode="0%" sourceLinked="0"/>
              <c:txPr>
                <a:bodyPr rot="-60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dLbl>
              <c:idx val="5"/>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dLbl>
            <c:numFmt formatCode="0%" sourceLinked="0"/>
            <c:txPr>
              <a:bodyPr rot="-660000" wrap="square"/>
              <a:lstStyle/>
              <a:p>
                <a:pPr>
                  <a:defRPr sz="800" b="0" u="none" strike="noStrike">
                    <a:solidFill>
                      <a:srgbClr val="000000"/>
                    </a:solidFill>
                    <a:uFillTx/>
                    <a:latin typeface="Century Gothic"/>
                  </a:defRPr>
                </a:pPr>
              </a:p>
            </c:txPr>
            <c:dLblPos val="bestFit"/>
            <c:showLegendKey val="0"/>
            <c:showVal val="0"/>
            <c:showCatName val="0"/>
            <c:showSerName val="0"/>
            <c:showPercent val="1"/>
            <c:separator>
</c:separator>
            <c:showLeaderLines val="1"/>
            <c:leaderLines>
              <c:spPr>
                <a:ln w="0">
                  <a:solidFill>
                    <a:srgbClr val="000000"/>
                  </a:solidFill>
                </a:ln>
              </c:spPr>
            </c:leaderLines>
          </c:dLbls>
          <c:cat>
            <c:strRef>
              <c:f>categories</c:f>
              <c:strCache>
                <c:ptCount val="6"/>
                <c:pt idx="0">
                  <c:v>Теплова енергія</c:v>
                </c:pt>
                <c:pt idx="1">
                  <c:v>Природний газ</c:v>
                </c:pt>
                <c:pt idx="2">
                  <c:v>Електрична енергія</c:v>
                </c:pt>
                <c:pt idx="3">
                  <c:v>Біопаливо та відходи</c:v>
                </c:pt>
                <c:pt idx="4">
                  <c:v>Нафтопродукти</c:v>
                </c:pt>
                <c:pt idx="5">
                  <c:v>Вугілля й торф</c:v>
                </c:pt>
              </c:strCache>
            </c:strRef>
          </c:cat>
          <c:val>
            <c:numRef>
              <c:f>0</c:f>
              <c:numCache>
                <c:formatCode>General</c:formatCode>
                <c:ptCount val="6"/>
                <c:pt idx="0">
                  <c:v>10818</c:v>
                </c:pt>
                <c:pt idx="1">
                  <c:v>1767</c:v>
                </c:pt>
                <c:pt idx="2">
                  <c:v>7422</c:v>
                </c:pt>
                <c:pt idx="3">
                  <c:v>36</c:v>
                </c:pt>
                <c:pt idx="4">
                  <c:v>108</c:v>
                </c:pt>
                <c:pt idx="5">
                  <c:v>359</c:v>
                </c:pt>
              </c:numCache>
            </c:numRef>
          </c:val>
        </c:ser>
        <c:firstSliceAng val="0"/>
      </c:pieChart>
      <c:spPr>
        <a:noFill/>
        <a:ln w="0">
          <a:noFill/>
        </a:ln>
      </c:spPr>
    </c:plotArea>
    <c:legend>
      <c:legendPos val="r"/>
      <c:overlay val="0"/>
      <c:spPr>
        <a:noFill/>
        <a:ln w="0">
          <a:noFill/>
        </a:ln>
      </c:spPr>
      <c:txPr>
        <a:bodyPr/>
        <a:lstStyle/>
        <a:p>
          <a:pPr>
            <a:defRPr sz="800" b="0" u="none" strike="noStrike">
              <a:solidFill>
                <a:srgbClr val="000000"/>
              </a:solidFill>
              <a:uFillTx/>
              <a:latin typeface="Century Gothic"/>
            </a:defRPr>
          </a:pPr>
        </a:p>
      </c:txPr>
    </c:legend>
    <c:plotVisOnly val="1"/>
    <c:dispBlanksAs val="gap"/>
  </c:chart>
  <c:spPr>
    <a:solidFill>
      <a:srgbClr val="FFFFFF"/>
    </a:solidFill>
    <a:ln w="9360">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Паливо</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1461</c:v>
                </c:pt>
                <c:pt idx="1">
                  <c:v>1628</c:v>
                </c:pt>
                <c:pt idx="2">
                  <c:v>1904</c:v>
                </c:pt>
              </c:numCache>
            </c:numRef>
          </c:val>
        </c:ser>
        <c:ser>
          <c:idx val="1"/>
          <c:order val="1"/>
          <c:tx>
            <c:strRef>
              <c:f>label 1</c:f>
              <c:strCache>
                <c:ptCount val="1"/>
                <c:pt idx="0">
                  <c:v>Вугілля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979</c:v>
                </c:pt>
                <c:pt idx="1">
                  <c:v>761</c:v>
                </c:pt>
                <c:pt idx="2">
                  <c:v>359</c:v>
                </c:pt>
              </c:numCache>
            </c:numRef>
          </c:val>
        </c:ser>
        <c:ser>
          <c:idx val="2"/>
          <c:order val="2"/>
          <c:tx>
            <c:strRef>
              <c:f>label 2</c:f>
              <c:strCache>
                <c:ptCount val="1"/>
                <c:pt idx="0">
                  <c:v>Дрова</c:v>
                </c:pt>
              </c:strCache>
            </c:strRef>
          </c:tx>
          <c:spPr>
            <a:solidFill>
              <a:srgbClr val="579D1C"/>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83</c:v>
                </c:pt>
                <c:pt idx="1">
                  <c:v>45</c:v>
                </c:pt>
                <c:pt idx="2">
                  <c:v>36</c:v>
                </c:pt>
              </c:numCache>
            </c:numRef>
          </c:val>
        </c:ser>
        <c:ser>
          <c:idx val="3"/>
          <c:order val="3"/>
          <c:tx>
            <c:strRef>
              <c:f>label 3</c:f>
              <c:strCache>
                <c:ptCount val="1"/>
                <c:pt idx="0">
                  <c:v>Теплова енергія</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8976</c:v>
                </c:pt>
                <c:pt idx="1">
                  <c:v>9461</c:v>
                </c:pt>
                <c:pt idx="2">
                  <c:v>10818</c:v>
                </c:pt>
              </c:numCache>
            </c:numRef>
          </c:val>
        </c:ser>
        <c:ser>
          <c:idx val="4"/>
          <c:order val="4"/>
          <c:tx>
            <c:strRef>
              <c:f>label 4</c:f>
              <c:strCache>
                <c:ptCount val="1"/>
                <c:pt idx="0">
                  <c:v>Електроенергія</c:v>
                </c:pt>
              </c:strCache>
            </c:strRef>
          </c:tx>
          <c:spPr>
            <a:solidFill>
              <a:srgbClr val="FF420E"/>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17370</c:v>
                </c:pt>
                <c:pt idx="1">
                  <c:v>14548</c:v>
                </c:pt>
                <c:pt idx="2">
                  <c:v>11080</c:v>
                </c:pt>
              </c:numCache>
            </c:numRef>
          </c:val>
        </c:ser>
        <c:ser>
          <c:idx val="5"/>
          <c:order val="5"/>
          <c:tx>
            <c:strRef>
              <c:f>label 5</c:f>
              <c:strCache>
                <c:ptCount val="1"/>
                <c:pt idx="0">
                  <c:v>Природний газ</c:v>
                </c:pt>
              </c:strCache>
            </c:strRef>
          </c:tx>
          <c:spPr>
            <a:solidFill>
              <a:srgbClr val="FFD320"/>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5</c:f>
              <c:numCache>
                <c:formatCode>General</c:formatCode>
                <c:ptCount val="3"/>
                <c:pt idx="0">
                  <c:v>1150</c:v>
                </c:pt>
                <c:pt idx="1">
                  <c:v>2118</c:v>
                </c:pt>
                <c:pt idx="2">
                  <c:v>1870</c:v>
                </c:pt>
              </c:numCache>
            </c:numRef>
          </c:val>
        </c:ser>
        <c:gapWidth val="100"/>
        <c:overlap val="100"/>
        <c:axId val="95899130"/>
        <c:axId val="65426578"/>
      </c:barChart>
      <c:catAx>
        <c:axId val="95899130"/>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65426578"/>
        <c:crosses val="autoZero"/>
        <c:auto val="1"/>
        <c:lblAlgn val="ctr"/>
        <c:lblOffset val="100"/>
        <c:noMultiLvlLbl val="0"/>
      </c:catAx>
      <c:valAx>
        <c:axId val="65426578"/>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95899130"/>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Громадські будівлі</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24727</c:v>
                </c:pt>
                <c:pt idx="1">
                  <c:v>23231</c:v>
                </c:pt>
                <c:pt idx="2">
                  <c:v>20510</c:v>
                </c:pt>
              </c:numCache>
            </c:numRef>
          </c:val>
        </c:ser>
        <c:ser>
          <c:idx val="1"/>
          <c:order val="1"/>
          <c:tx>
            <c:strRef>
              <c:f>label 1</c:f>
              <c:strCache>
                <c:ptCount val="1"/>
                <c:pt idx="0">
                  <c:v>Об'єкти водопостачання та водовідведення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3213</c:v>
                </c:pt>
                <c:pt idx="1">
                  <c:v>3215</c:v>
                </c:pt>
                <c:pt idx="2">
                  <c:v>3381</c:v>
                </c:pt>
              </c:numCache>
            </c:numRef>
          </c:val>
        </c:ser>
        <c:ser>
          <c:idx val="2"/>
          <c:order val="2"/>
          <c:tx>
            <c:strRef>
              <c:f>label 2</c:f>
              <c:strCache>
                <c:ptCount val="1"/>
                <c:pt idx="0">
                  <c:v>Об'єкти зовнішнього освітлення</c:v>
                </c:pt>
              </c:strCache>
            </c:strRef>
          </c:tx>
          <c:spPr>
            <a:solidFill>
              <a:srgbClr val="579D1C"/>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1253</c:v>
                </c:pt>
                <c:pt idx="1">
                  <c:v>1246</c:v>
                </c:pt>
                <c:pt idx="2">
                  <c:v>1377</c:v>
                </c:pt>
              </c:numCache>
            </c:numRef>
          </c:val>
        </c:ser>
        <c:ser>
          <c:idx val="3"/>
          <c:order val="3"/>
          <c:tx>
            <c:strRef>
              <c:f>label 3</c:f>
              <c:strCache>
                <c:ptCount val="1"/>
                <c:pt idx="0">
                  <c:v>Об'єкти з управління побутовими відходами</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664</c:v>
                </c:pt>
                <c:pt idx="1">
                  <c:v>568</c:v>
                </c:pt>
                <c:pt idx="2">
                  <c:v>504</c:v>
                </c:pt>
              </c:numCache>
            </c:numRef>
          </c:val>
        </c:ser>
        <c:ser>
          <c:idx val="4"/>
          <c:order val="4"/>
          <c:tx>
            <c:strRef>
              <c:f>label 4</c:f>
              <c:strCache>
                <c:ptCount val="1"/>
                <c:pt idx="0">
                  <c:v>Об'єкти теплопостачання</c:v>
                </c:pt>
              </c:strCache>
            </c:strRef>
          </c:tx>
          <c:spPr>
            <a:solidFill>
              <a:srgbClr val="FF420E"/>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153</c:v>
                </c:pt>
                <c:pt idx="1">
                  <c:v>301</c:v>
                </c:pt>
                <c:pt idx="2">
                  <c:v>295</c:v>
                </c:pt>
              </c:numCache>
            </c:numRef>
          </c:val>
        </c:ser>
        <c:gapWidth val="100"/>
        <c:overlap val="100"/>
        <c:axId val="67210321"/>
        <c:axId val="80198926"/>
      </c:barChart>
      <c:catAx>
        <c:axId val="67210321"/>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80198926"/>
        <c:crosses val="autoZero"/>
        <c:auto val="1"/>
        <c:lblAlgn val="ctr"/>
        <c:lblOffset val="100"/>
        <c:noMultiLvlLbl val="0"/>
      </c:catAx>
      <c:valAx>
        <c:axId val="80198926"/>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67210321"/>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Громадські будівлі</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29.4</c:v>
                </c:pt>
                <c:pt idx="1">
                  <c:v>51.5</c:v>
                </c:pt>
                <c:pt idx="2">
                  <c:v>52.7</c:v>
                </c:pt>
              </c:numCache>
            </c:numRef>
          </c:val>
        </c:ser>
        <c:ser>
          <c:idx val="1"/>
          <c:order val="1"/>
          <c:tx>
            <c:strRef>
              <c:f>label 1</c:f>
              <c:strCache>
                <c:ptCount val="1"/>
                <c:pt idx="0">
                  <c:v>Об'єкти водопостачання та водовідведення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17.8</c:v>
                </c:pt>
                <c:pt idx="1">
                  <c:v>22.4</c:v>
                </c:pt>
                <c:pt idx="2">
                  <c:v>23.9</c:v>
                </c:pt>
              </c:numCache>
            </c:numRef>
          </c:val>
        </c:ser>
        <c:ser>
          <c:idx val="2"/>
          <c:order val="2"/>
          <c:tx>
            <c:strRef>
              <c:f>label 2</c:f>
              <c:strCache>
                <c:ptCount val="1"/>
                <c:pt idx="0">
                  <c:v>Об'єкти зовнішнього освітлення</c:v>
                </c:pt>
              </c:strCache>
            </c:strRef>
          </c:tx>
          <c:spPr>
            <a:solidFill>
              <a:srgbClr val="579D1C"/>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4.1</c:v>
                </c:pt>
                <c:pt idx="1">
                  <c:v>3.8</c:v>
                </c:pt>
                <c:pt idx="2">
                  <c:v>1.7</c:v>
                </c:pt>
              </c:numCache>
            </c:numRef>
          </c:val>
        </c:ser>
        <c:ser>
          <c:idx val="3"/>
          <c:order val="3"/>
          <c:tx>
            <c:strRef>
              <c:f>label 3</c:f>
              <c:strCache>
                <c:ptCount val="1"/>
                <c:pt idx="0">
                  <c:v>Об'єкти з управління побутовими відходами</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1.3</c:v>
                </c:pt>
                <c:pt idx="1">
                  <c:v>3.7</c:v>
                </c:pt>
                <c:pt idx="2">
                  <c:v>4.2</c:v>
                </c:pt>
              </c:numCache>
            </c:numRef>
          </c:val>
        </c:ser>
        <c:gapWidth val="100"/>
        <c:overlap val="100"/>
        <c:axId val="75936871"/>
        <c:axId val="17919841"/>
      </c:barChart>
      <c:catAx>
        <c:axId val="75936871"/>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17919841"/>
        <c:crosses val="autoZero"/>
        <c:auto val="1"/>
        <c:lblAlgn val="ctr"/>
        <c:lblOffset val="100"/>
        <c:noMultiLvlLbl val="0"/>
      </c:catAx>
      <c:valAx>
        <c:axId val="17919841"/>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75936871"/>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Паливо</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1.9</c:v>
                </c:pt>
                <c:pt idx="1">
                  <c:v>4.3</c:v>
                </c:pt>
                <c:pt idx="2">
                  <c:v>6</c:v>
                </c:pt>
              </c:numCache>
            </c:numRef>
          </c:val>
        </c:ser>
        <c:ser>
          <c:idx val="1"/>
          <c:order val="1"/>
          <c:tx>
            <c:strRef>
              <c:f>label 1</c:f>
              <c:strCache>
                <c:ptCount val="1"/>
                <c:pt idx="0">
                  <c:v>Вугілля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1</c:f>
              <c:numCache>
                <c:formatCode>General</c:formatCode>
                <c:ptCount val="3"/>
                <c:pt idx="0">
                  <c:v>0.9</c:v>
                </c:pt>
                <c:pt idx="1">
                  <c:v>0.9</c:v>
                </c:pt>
                <c:pt idx="2">
                  <c:v>0</c:v>
                </c:pt>
              </c:numCache>
            </c:numRef>
          </c:val>
        </c:ser>
        <c:ser>
          <c:idx val="2"/>
          <c:order val="2"/>
          <c:tx>
            <c:strRef>
              <c:f>label 2</c:f>
              <c:strCache>
                <c:ptCount val="1"/>
                <c:pt idx="0">
                  <c:v>Теплова енергія</c:v>
                </c:pt>
              </c:strCache>
            </c:strRef>
          </c:tx>
          <c:spPr>
            <a:solidFill>
              <a:srgbClr val="004586"/>
            </a:solidFill>
            <a:ln w="0">
              <a:noFill/>
            </a:ln>
          </c:spPr>
          <c:invertIfNegative val="0"/>
          <c:dPt>
            <c:idx val="0"/>
            <c:invertIfNegative val="0"/>
            <c:spPr>
              <a:solidFill>
                <a:srgbClr val="004586"/>
              </a:solidFill>
              <a:ln w="0">
                <a:noFill/>
              </a:ln>
            </c:spPr>
          </c:dPt>
          <c:dLbls>
            <c:dLbl>
              <c:idx val="0"/>
              <c:txPr>
                <a:bodyPr wrap="none"/>
                <a:lstStyle/>
                <a:p>
                  <a:pPr>
                    <a:defRPr sz="1000" b="0" u="none" strike="noStrike">
                      <a:uFillTx/>
                      <a:latin typeface="Arial"/>
                    </a:defRPr>
                  </a:pPr>
                </a:p>
              </c:txPr>
              <c:showLegendKey val="0"/>
              <c:showVal val="0"/>
              <c:showCatName val="0"/>
              <c:showSerName val="0"/>
              <c:showPercent val="0"/>
              <c:separator> </c:separator>
            </c:dLbl>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2</c:f>
              <c:numCache>
                <c:formatCode>General</c:formatCode>
                <c:ptCount val="3"/>
                <c:pt idx="0">
                  <c:v>21.3</c:v>
                </c:pt>
                <c:pt idx="1">
                  <c:v>35.4</c:v>
                </c:pt>
                <c:pt idx="2">
                  <c:v>36.6</c:v>
                </c:pt>
              </c:numCache>
            </c:numRef>
          </c:val>
        </c:ser>
        <c:ser>
          <c:idx val="3"/>
          <c:order val="3"/>
          <c:tx>
            <c:strRef>
              <c:f>label 3</c:f>
              <c:strCache>
                <c:ptCount val="1"/>
                <c:pt idx="0">
                  <c:v>Електроенергія</c:v>
                </c:pt>
              </c:strCache>
            </c:strRef>
          </c:tx>
          <c:spPr>
            <a:solidFill>
              <a:srgbClr val="FF420E"/>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3</c:f>
              <c:numCache>
                <c:formatCode>General</c:formatCode>
                <c:ptCount val="3"/>
                <c:pt idx="0">
                  <c:v>26.9</c:v>
                </c:pt>
                <c:pt idx="1">
                  <c:v>36.1</c:v>
                </c:pt>
                <c:pt idx="2">
                  <c:v>37.4</c:v>
                </c:pt>
              </c:numCache>
            </c:numRef>
          </c:val>
        </c:ser>
        <c:ser>
          <c:idx val="4"/>
          <c:order val="4"/>
          <c:tx>
            <c:strRef>
              <c:f>label 4</c:f>
              <c:strCache>
                <c:ptCount val="1"/>
                <c:pt idx="0">
                  <c:v>Природний газ</c:v>
                </c:pt>
              </c:strCache>
            </c:strRef>
          </c:tx>
          <c:spPr>
            <a:solidFill>
              <a:srgbClr val="FFD320"/>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4</c:f>
              <c:numCache>
                <c:formatCode>General</c:formatCode>
                <c:ptCount val="3"/>
                <c:pt idx="0">
                  <c:v>1.5</c:v>
                </c:pt>
                <c:pt idx="1">
                  <c:v>4.8</c:v>
                </c:pt>
                <c:pt idx="2">
                  <c:v>3.7</c:v>
                </c:pt>
              </c:numCache>
            </c:numRef>
          </c:val>
        </c:ser>
        <c:gapWidth val="100"/>
        <c:overlap val="100"/>
        <c:axId val="95830206"/>
        <c:axId val="4183219"/>
      </c:barChart>
      <c:catAx>
        <c:axId val="95830206"/>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4183219"/>
        <c:crosses val="autoZero"/>
        <c:auto val="1"/>
        <c:lblAlgn val="ctr"/>
        <c:lblOffset val="100"/>
        <c:noMultiLvlLbl val="0"/>
      </c:catAx>
      <c:valAx>
        <c:axId val="4183219"/>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95830206"/>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Громадські будівлі</c:v>
                </c:pt>
              </c:strCache>
            </c:strRef>
          </c:tx>
          <c:spPr>
            <a:solidFill>
              <a:srgbClr val="83CAFF"/>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2024</c:v>
                </c:pt>
                <c:pt idx="1">
                  <c:v>2025</c:v>
                </c:pt>
              </c:strCache>
            </c:strRef>
          </c:cat>
          <c:val>
            <c:numRef>
              <c:f>0</c:f>
              <c:numCache>
                <c:formatCode>General</c:formatCode>
                <c:ptCount val="2"/>
                <c:pt idx="0">
                  <c:v>4452.5</c:v>
                </c:pt>
                <c:pt idx="1">
                  <c:v>11376</c:v>
                </c:pt>
              </c:numCache>
            </c:numRef>
          </c:val>
        </c:ser>
        <c:ser>
          <c:idx val="1"/>
          <c:order val="1"/>
          <c:tx>
            <c:strRef>
              <c:f>label 1</c:f>
              <c:strCache>
                <c:ptCount val="1"/>
                <c:pt idx="0">
                  <c:v>Об'єкти водопостачання та водовідведення</c:v>
                </c:pt>
              </c:strCache>
            </c:strRef>
          </c:tx>
          <c:spPr>
            <a:solidFill>
              <a:srgbClr val="7E0021"/>
            </a:solidFill>
            <a:ln w="0">
              <a:noFill/>
            </a:ln>
          </c:spPr>
          <c:invertIfNegative val="0"/>
          <c:dLbls>
            <c:txPr>
              <a:bodyPr wrap="none"/>
              <a:lstStyle/>
              <a:p>
                <a:pPr>
                  <a:defRPr sz="1000" b="0" u="none" strike="noStrike">
                    <a:uFillTx/>
                    <a:latin typeface="Arial"/>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2024</c:v>
                </c:pt>
                <c:pt idx="1">
                  <c:v>2025</c:v>
                </c:pt>
              </c:strCache>
            </c:strRef>
          </c:cat>
          <c:val>
            <c:numRef>
              <c:f>1</c:f>
              <c:numCache>
                <c:formatCode>General</c:formatCode>
                <c:ptCount val="2"/>
                <c:pt idx="0">
                  <c:v>0</c:v>
                </c:pt>
                <c:pt idx="1">
                  <c:v>0.247</c:v>
                </c:pt>
              </c:numCache>
            </c:numRef>
          </c:val>
        </c:ser>
        <c:gapWidth val="100"/>
        <c:overlap val="100"/>
        <c:axId val="90298849"/>
        <c:axId val="91007550"/>
      </c:barChart>
      <c:catAx>
        <c:axId val="90298849"/>
        <c:scaling>
          <c:orientation val="minMax"/>
        </c:scaling>
        <c:delete val="0"/>
        <c:axPos val="b"/>
        <c:numFmt formatCode="[$-422]dd/mm/yyyy"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91007550"/>
        <c:crosses val="autoZero"/>
        <c:auto val="1"/>
        <c:lblAlgn val="ctr"/>
        <c:lblOffset val="100"/>
        <c:noMultiLvlLbl val="0"/>
      </c:catAx>
      <c:valAx>
        <c:axId val="91007550"/>
        <c:scaling>
          <c:orientation val="minMax"/>
        </c:scaling>
        <c:delete val="0"/>
        <c:axPos val="l"/>
        <c:majorGridlines>
          <c:spPr>
            <a:ln w="0">
              <a:solidFill>
                <a:srgbClr val="B3B3B3"/>
              </a:solidFill>
            </a:ln>
          </c:spPr>
        </c:majorGridlines>
        <c:numFmt formatCode="General" sourceLinked="1"/>
        <c:majorTickMark val="out"/>
        <c:minorTickMark val="none"/>
        <c:tickLblPos val="nextTo"/>
        <c:spPr>
          <a:ln w="0">
            <a:solidFill>
              <a:srgbClr val="B3B3B3"/>
            </a:solidFill>
          </a:ln>
        </c:spPr>
        <c:txPr>
          <a:bodyPr/>
          <a:lstStyle/>
          <a:p>
            <a:pPr>
              <a:defRPr sz="1000" b="0" u="none" strike="noStrike">
                <a:uFillTx/>
                <a:latin typeface="Arial"/>
              </a:defRPr>
            </a:pPr>
          </a:p>
        </c:txPr>
        <c:crossAx val="90298849"/>
        <c:crosses val="autoZero"/>
        <c:crossBetween val="between"/>
      </c:valAx>
      <c:spPr>
        <a:noFill/>
        <a:ln w="0">
          <a:solidFill>
            <a:srgbClr val="B3B3B3"/>
          </a:solidFill>
        </a:ln>
      </c:spPr>
    </c:plotArea>
    <c:legend>
      <c:legendPos val="r"/>
      <c:overlay val="0"/>
      <c:spPr>
        <a:noFill/>
        <a:ln w="0">
          <a:noFill/>
        </a:ln>
      </c:spPr>
      <c:txPr>
        <a:bodyPr/>
        <a:lstStyle/>
        <a:p>
          <a:pPr>
            <a:defRPr sz="1000" b="0" u="none" strike="noStrike">
              <a:uFillTx/>
              <a:latin typeface="Arial"/>
            </a:defRPr>
          </a:pPr>
        </a:p>
      </c:txPr>
    </c:legend>
    <c:plotVisOnly val="1"/>
    <c:dispBlanksAs val="gap"/>
  </c:chart>
  <c:spPr>
    <a:noFill/>
    <a:ln w="0">
      <a:noFill/>
    </a:ln>
  </c:sp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0948471294651063"/>
          <c:y val="0.247251198195658"/>
          <c:w val="0.873843514490534"/>
          <c:h val="0.673667888356358"/>
        </c:manualLayout>
      </c:layout>
      <c:areaChart>
        <c:grouping val="stacked"/>
        <c:ser>
          <c:idx val="0"/>
          <c:order val="0"/>
          <c:tx>
            <c:strRef>
              <c:f>label 0</c:f>
              <c:strCache>
                <c:ptCount val="1"/>
                <c:pt idx="0">
                  <c:v>Громадські будівлі</c:v>
                </c:pt>
              </c:strCache>
            </c:strRef>
          </c:tx>
          <c:spPr>
            <a:solidFill>
              <a:srgbClr val="92D05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0</c:f>
              <c:numCache>
                <c:formatCode>General</c:formatCode>
                <c:ptCount val="9"/>
                <c:pt idx="0">
                  <c:v>24726</c:v>
                </c:pt>
                <c:pt idx="1">
                  <c:v>23231</c:v>
                </c:pt>
                <c:pt idx="2">
                  <c:v>20510</c:v>
                </c:pt>
                <c:pt idx="3">
                  <c:v>20420</c:v>
                </c:pt>
                <c:pt idx="4">
                  <c:v>20350</c:v>
                </c:pt>
                <c:pt idx="5">
                  <c:v>19750</c:v>
                </c:pt>
                <c:pt idx="6">
                  <c:v>19400</c:v>
                </c:pt>
                <c:pt idx="7">
                  <c:v>18900</c:v>
                </c:pt>
                <c:pt idx="8">
                  <c:v>18251</c:v>
                </c:pt>
              </c:numCache>
            </c:numRef>
          </c:val>
        </c:ser>
        <c:ser>
          <c:idx val="1"/>
          <c:order val="1"/>
          <c:tx>
            <c:strRef>
              <c:f>label 1</c:f>
              <c:strCache>
                <c:ptCount val="1"/>
                <c:pt idx="0">
                  <c:v>Об'єкти з управління побутовими відходами</c:v>
                </c:pt>
              </c:strCache>
            </c:strRef>
          </c:tx>
          <c:spPr>
            <a:solidFill>
              <a:srgbClr val="00FFFF"/>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1</c:f>
              <c:numCache>
                <c:formatCode>General</c:formatCode>
                <c:ptCount val="9"/>
                <c:pt idx="0">
                  <c:v>664</c:v>
                </c:pt>
                <c:pt idx="1">
                  <c:v>568</c:v>
                </c:pt>
                <c:pt idx="2">
                  <c:v>504</c:v>
                </c:pt>
                <c:pt idx="3">
                  <c:v>498</c:v>
                </c:pt>
                <c:pt idx="4">
                  <c:v>487</c:v>
                </c:pt>
                <c:pt idx="5">
                  <c:v>463</c:v>
                </c:pt>
                <c:pt idx="6">
                  <c:v>442</c:v>
                </c:pt>
                <c:pt idx="7">
                  <c:v>438</c:v>
                </c:pt>
                <c:pt idx="8">
                  <c:v>434</c:v>
                </c:pt>
              </c:numCache>
            </c:numRef>
          </c:val>
        </c:ser>
        <c:ser>
          <c:idx val="2"/>
          <c:order val="2"/>
          <c:tx>
            <c:strRef>
              <c:f>label 2</c:f>
              <c:strCache>
                <c:ptCount val="1"/>
                <c:pt idx="0">
                  <c:v>Об’єкти зовнішнього освітлення</c:v>
                </c:pt>
              </c:strCache>
            </c:strRef>
          </c:tx>
          <c:spPr>
            <a:solidFill>
              <a:srgbClr val="FFFF0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2</c:f>
              <c:numCache>
                <c:formatCode>General</c:formatCode>
                <c:ptCount val="9"/>
                <c:pt idx="0">
                  <c:v>1253</c:v>
                </c:pt>
                <c:pt idx="1">
                  <c:v>1246</c:v>
                </c:pt>
                <c:pt idx="2">
                  <c:v>1377</c:v>
                </c:pt>
                <c:pt idx="3">
                  <c:v>1247</c:v>
                </c:pt>
                <c:pt idx="4">
                  <c:v>925</c:v>
                </c:pt>
                <c:pt idx="5">
                  <c:v>810</c:v>
                </c:pt>
                <c:pt idx="6">
                  <c:v>798</c:v>
                </c:pt>
                <c:pt idx="7">
                  <c:v>477</c:v>
                </c:pt>
                <c:pt idx="8">
                  <c:v>473</c:v>
                </c:pt>
              </c:numCache>
            </c:numRef>
          </c:val>
        </c:ser>
        <c:ser>
          <c:idx val="3"/>
          <c:order val="3"/>
          <c:tx>
            <c:strRef>
              <c:f>label 3</c:f>
              <c:strCache>
                <c:ptCount val="1"/>
                <c:pt idx="0">
                  <c:v>Об’єкти водопостачання і водовідведення</c:v>
                </c:pt>
              </c:strCache>
            </c:strRef>
          </c:tx>
          <c:spPr>
            <a:solidFill>
              <a:srgbClr val="4472C4"/>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3</c:f>
              <c:numCache>
                <c:formatCode>General</c:formatCode>
                <c:ptCount val="9"/>
                <c:pt idx="0">
                  <c:v>3213</c:v>
                </c:pt>
                <c:pt idx="1">
                  <c:v>3215</c:v>
                </c:pt>
                <c:pt idx="2">
                  <c:v>3381</c:v>
                </c:pt>
                <c:pt idx="3">
                  <c:v>2733</c:v>
                </c:pt>
                <c:pt idx="4">
                  <c:v>2632</c:v>
                </c:pt>
                <c:pt idx="5">
                  <c:v>2579</c:v>
                </c:pt>
                <c:pt idx="6">
                  <c:v>2437</c:v>
                </c:pt>
                <c:pt idx="7">
                  <c:v>2380</c:v>
                </c:pt>
                <c:pt idx="8">
                  <c:v>2222</c:v>
                </c:pt>
              </c:numCache>
            </c:numRef>
          </c:val>
        </c:ser>
        <c:ser>
          <c:idx val="4"/>
          <c:order val="4"/>
          <c:tx>
            <c:strRef>
              <c:f>label 4</c:f>
              <c:strCache>
                <c:ptCount val="1"/>
                <c:pt idx="0">
                  <c:v>Об’єкти теплопостачання</c:v>
                </c:pt>
              </c:strCache>
            </c:strRef>
          </c:tx>
          <c:spPr>
            <a:solidFill>
              <a:srgbClr val="FF0000"/>
            </a:solidFill>
            <a:ln w="0">
              <a:noFill/>
            </a:ln>
          </c:spPr>
          <c:dLbls>
            <c:txPr>
              <a:bodyPr wrap="square"/>
              <a:lstStyle/>
              <a:p>
                <a:pPr>
                  <a:defRPr sz="800" b="0" u="none" strike="noStrike">
                    <a:solidFill>
                      <a:srgbClr val="000000"/>
                    </a:solidFill>
                    <a:uFillTx/>
                    <a:latin typeface="Century Gothic"/>
                  </a:defRPr>
                </a:pPr>
              </a:p>
            </c:txP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4</c:f>
              <c:numCache>
                <c:formatCode>General</c:formatCode>
                <c:ptCount val="9"/>
                <c:pt idx="0">
                  <c:v>153</c:v>
                </c:pt>
                <c:pt idx="1">
                  <c:v>301</c:v>
                </c:pt>
                <c:pt idx="2">
                  <c:v>295</c:v>
                </c:pt>
                <c:pt idx="3">
                  <c:v>270</c:v>
                </c:pt>
                <c:pt idx="4">
                  <c:v>320</c:v>
                </c:pt>
                <c:pt idx="5">
                  <c:v>290</c:v>
                </c:pt>
                <c:pt idx="6">
                  <c:v>280</c:v>
                </c:pt>
                <c:pt idx="7">
                  <c:v>270</c:v>
                </c:pt>
                <c:pt idx="8">
                  <c:v>230</c:v>
                </c:pt>
              </c:numCache>
            </c:numRef>
          </c:val>
        </c:ser>
        <c:axId val="93463452"/>
        <c:axId val="66589931"/>
      </c:areaChart>
      <c:lineChart>
        <c:grouping val="stacked"/>
        <c:varyColors val="0"/>
        <c:ser>
          <c:idx val="5"/>
          <c:order val="5"/>
          <c:tx>
            <c:strRef>
              <c:f>label 5</c:f>
              <c:strCache>
                <c:ptCount val="1"/>
                <c:pt idx="0">
                  <c:v>Споживання енергії (факт)</c:v>
                </c:pt>
              </c:strCache>
            </c:strRef>
          </c:tx>
          <c:spPr>
            <a:solidFill>
              <a:srgbClr val="FF0000"/>
            </a:solidFill>
            <a:ln cap="rnd" w="28440">
              <a:solidFill>
                <a:srgbClr val="FF0000"/>
              </a:solidFill>
              <a:round/>
            </a:ln>
          </c:spPr>
          <c:marker>
            <c:symbol val="none"/>
          </c:marker>
          <c:dLbls>
            <c:txPr>
              <a:bodyPr wrap="square"/>
              <a:lstStyle/>
              <a:p>
                <a:pPr>
                  <a:defRPr sz="800" b="0" u="none" strike="noStrike">
                    <a:solidFill>
                      <a:srgbClr val="000000"/>
                    </a:solidFill>
                    <a:uFillTx/>
                    <a:latin typeface="Century Gothic"/>
                  </a:defRPr>
                </a:pPr>
              </a:p>
            </c:txPr>
            <c:dLblPos val="r"/>
            <c:showLegendKey val="0"/>
            <c:showVal val="0"/>
            <c:showCatName val="0"/>
            <c:showSerName val="0"/>
            <c:showPercent val="0"/>
            <c:separator>; </c:separator>
            <c:showLeaderLines val="1"/>
            <c:leaderLines>
              <c:spPr>
                <a:ln cap="rnd" w="28440">
                  <a:solidFill>
                    <a:srgbClr val="000000"/>
                  </a:solidFill>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5</c:f>
              <c:numCache>
                <c:formatCode>General</c:formatCode>
                <c:ptCount val="9"/>
                <c:pt idx="0">
                  <c:v>30009</c:v>
                </c:pt>
                <c:pt idx="1">
                  <c:v>28561</c:v>
                </c:pt>
                <c:pt idx="2">
                  <c:v>26067</c:v>
                </c:pt>
              </c:numCache>
            </c:numRef>
          </c:val>
          <c:smooth val="0"/>
        </c:ser>
        <c:ser>
          <c:idx val="6"/>
          <c:order val="6"/>
          <c:tx>
            <c:strRef>
              <c:f>label 6</c:f>
              <c:strCache>
                <c:ptCount val="1"/>
                <c:pt idx="0">
                  <c:v>Базова лінія (прогноз)</c:v>
                </c:pt>
              </c:strCache>
            </c:strRef>
          </c:tx>
          <c:spPr>
            <a:solidFill>
              <a:srgbClr val="FF0000"/>
            </a:solidFill>
            <a:ln cap="rnd" w="28440">
              <a:solidFill>
                <a:srgbClr val="FF0000"/>
              </a:solidFill>
              <a:prstDash val="dash"/>
              <a:round/>
            </a:ln>
          </c:spPr>
          <c:marker>
            <c:symbol val="none"/>
          </c:marker>
          <c:dLbls>
            <c:txPr>
              <a:bodyPr wrap="square"/>
              <a:lstStyle/>
              <a:p>
                <a:pPr>
                  <a:defRPr sz="800" b="0" u="none" strike="noStrike">
                    <a:solidFill>
                      <a:srgbClr val="000000"/>
                    </a:solidFill>
                    <a:uFillTx/>
                    <a:latin typeface="Century Gothic"/>
                  </a:defRPr>
                </a:pPr>
              </a:p>
            </c:txPr>
            <c:dLblPos val="r"/>
            <c:showLegendKey val="0"/>
            <c:showVal val="0"/>
            <c:showCatName val="0"/>
            <c:showSerName val="0"/>
            <c:showPercent val="0"/>
            <c:separator>; </c:separator>
            <c:showLeaderLines val="1"/>
            <c:leaderLines>
              <c:spPr>
                <a:ln cap="rnd" w="28440">
                  <a:solidFill>
                    <a:srgbClr val="000000"/>
                  </a:solidFill>
                  <a:prstDash val="dash"/>
                </a:ln>
              </c:spPr>
            </c:leaderLines>
            <c:extLst>
              <c:ext xmlns:c15="http://schemas.microsoft.com/office/drawing/2012/chart" uri="{CE6537A1-D6FC-4f65-9D91-7224C49458BB}">
                <c15:showLeaderLines val="1"/>
              </c:ext>
            </c:extLst>
          </c:dLbls>
          <c:cat>
            <c:strRef>
              <c:f>categories</c:f>
              <c:strCache>
                <c:ptCount val="9"/>
                <c:pt idx="0">
                  <c:v>2022</c:v>
                </c:pt>
                <c:pt idx="1">
                  <c:v>2023</c:v>
                </c:pt>
                <c:pt idx="2">
                  <c:v>2024</c:v>
                </c:pt>
                <c:pt idx="3">
                  <c:v>2025</c:v>
                </c:pt>
                <c:pt idx="4">
                  <c:v>2026</c:v>
                </c:pt>
                <c:pt idx="5">
                  <c:v>2027</c:v>
                </c:pt>
                <c:pt idx="6">
                  <c:v>2028</c:v>
                </c:pt>
                <c:pt idx="7">
                  <c:v>2029</c:v>
                </c:pt>
                <c:pt idx="8">
                  <c:v>2030</c:v>
                </c:pt>
              </c:strCache>
            </c:strRef>
          </c:cat>
          <c:val>
            <c:numRef>
              <c:f>6</c:f>
              <c:numCache>
                <c:formatCode>General</c:formatCode>
                <c:ptCount val="9"/>
                <c:pt idx="0">
                  <c:v>30009</c:v>
                </c:pt>
                <c:pt idx="1">
                  <c:v>28561</c:v>
                </c:pt>
                <c:pt idx="2">
                  <c:v>26067</c:v>
                </c:pt>
                <c:pt idx="3">
                  <c:v>25168</c:v>
                </c:pt>
                <c:pt idx="4">
                  <c:v>24714</c:v>
                </c:pt>
                <c:pt idx="5">
                  <c:v>23892</c:v>
                </c:pt>
                <c:pt idx="6">
                  <c:v>23357</c:v>
                </c:pt>
                <c:pt idx="7">
                  <c:v>22465</c:v>
                </c:pt>
                <c:pt idx="8">
                  <c:v>21610</c:v>
                </c:pt>
              </c:numCache>
            </c:numRef>
          </c:val>
          <c:smooth val="0"/>
        </c:ser>
        <c:hiLowLines>
          <c:spPr>
            <a:ln w="0">
              <a:noFill/>
            </a:ln>
          </c:spPr>
        </c:hiLowLines>
        <c:marker val="0"/>
        <c:axId val="93463452"/>
        <c:axId val="66589931"/>
      </c:lineChart>
      <c:catAx>
        <c:axId val="93463452"/>
        <c:scaling>
          <c:orientation val="minMax"/>
        </c:scaling>
        <c:delete val="0"/>
        <c:axPos val="b"/>
        <c:numFmt formatCode="General" sourceLinked="0"/>
        <c:majorTickMark val="out"/>
        <c:minorTickMark val="none"/>
        <c:tickLblPos val="nextTo"/>
        <c:spPr>
          <a:ln cap="rnd" w="9360">
            <a:solidFill>
              <a:srgbClr val="D9D9D9"/>
            </a:solidFill>
            <a:round/>
          </a:ln>
        </c:spPr>
        <c:txPr>
          <a:bodyPr/>
          <a:lstStyle/>
          <a:p>
            <a:pPr>
              <a:defRPr sz="800" b="0" u="none" strike="noStrike">
                <a:solidFill>
                  <a:srgbClr val="000000"/>
                </a:solidFill>
                <a:uFillTx/>
                <a:latin typeface="Century Gothic"/>
              </a:defRPr>
            </a:pPr>
          </a:p>
        </c:txPr>
        <c:crossAx val="66589931"/>
        <c:crosses val="autoZero"/>
        <c:auto val="1"/>
        <c:lblAlgn val="ctr"/>
        <c:lblOffset val="100"/>
        <c:noMultiLvlLbl val="0"/>
      </c:catAx>
      <c:valAx>
        <c:axId val="66589931"/>
        <c:scaling>
          <c:orientation val="minMax"/>
        </c:scaling>
        <c:delete val="0"/>
        <c:axPos val="l"/>
        <c:majorGridlines>
          <c:spPr>
            <a:ln cap="rnd" w="9360">
              <a:solidFill>
                <a:srgbClr val="D9D9D9"/>
              </a:solidFill>
              <a:round/>
            </a:ln>
          </c:spPr>
        </c:majorGridlines>
        <c:numFmt formatCode="#,##0" sourceLinked="0"/>
        <c:majorTickMark val="none"/>
        <c:minorTickMark val="none"/>
        <c:tickLblPos val="nextTo"/>
        <c:spPr>
          <a:ln cap="rnd" w="9360">
            <a:solidFill>
              <a:srgbClr val="BFBFBF"/>
            </a:solidFill>
            <a:round/>
          </a:ln>
        </c:spPr>
        <c:txPr>
          <a:bodyPr/>
          <a:lstStyle/>
          <a:p>
            <a:pPr>
              <a:defRPr sz="800" b="0" u="none" strike="noStrike">
                <a:solidFill>
                  <a:srgbClr val="000000"/>
                </a:solidFill>
                <a:uFillTx/>
                <a:latin typeface="Century Gothic"/>
              </a:defRPr>
            </a:pPr>
          </a:p>
        </c:txPr>
        <c:crossAx val="93463452"/>
        <c:crosses val="autoZero"/>
        <c:crossBetween val="midCat"/>
      </c:valAx>
      <c:spPr>
        <a:noFill/>
        <a:ln w="0">
          <a:solidFill>
            <a:srgbClr val="A6A6A6"/>
          </a:solidFill>
        </a:ln>
      </c:spPr>
    </c:plotArea>
    <c:legend>
      <c:legendPos val="t"/>
      <c:layout>
        <c:manualLayout>
          <c:xMode val="edge"/>
          <c:yMode val="edge"/>
          <c:x val="0.0765271735800503"/>
          <c:y val="0.0088807442909501"/>
          <c:w val="0.923468137254902"/>
          <c:h val="0.223036796841957"/>
        </c:manualLayout>
      </c:layout>
      <c:overlay val="0"/>
      <c:spPr>
        <a:noFill/>
        <a:ln w="0">
          <a:noFill/>
        </a:ln>
      </c:spPr>
      <c:txPr>
        <a:bodyPr/>
        <a:lstStyle/>
        <a:p>
          <a:pPr>
            <a:defRPr sz="800" b="0" u="none" strike="noStrike">
              <a:solidFill>
                <a:srgbClr val="000000"/>
              </a:solidFill>
              <a:uFillTx/>
              <a:latin typeface="Century Gothic"/>
            </a:defRPr>
          </a:pPr>
        </a:p>
      </c:txPr>
    </c:legend>
    <c:plotVisOnly val="1"/>
    <c:dispBlanksAs val="zero"/>
  </c:chart>
  <c:spPr>
    <a:solidFill>
      <a:srgbClr val="FFFFFF"/>
    </a:solidFill>
    <a:ln w="9360">
      <a:noFill/>
    </a:ln>
  </c:spPr>
  <c:userShapes r:id="rId1"/>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26222894604"/>
          <c:y val="0.0689869484151647"/>
          <c:w val="0.871343923348462"/>
          <c:h val="0.849596022374145"/>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Pt>
            <c:idx val="1"/>
            <c:invertIfNegative val="0"/>
            <c:spPr>
              <a:pattFill prst="ltUpDiag">
                <a:fgClr>
                  <a:srgbClr val="052F61"/>
                </a:fgClr>
                <a:bgClr>
                  <a:srgbClr val="FFFFFF"/>
                </a:bgClr>
              </a:pattFill>
              <a:ln w="0">
                <a:noFill/>
              </a:ln>
            </c:spPr>
          </c:dPt>
          <c:dLbls>
            <c:dLbl>
              <c:idx val="1"/>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dLbl>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391384.9</c:v>
                </c:pt>
                <c:pt idx="1">
                  <c:v>465752.2</c:v>
                </c:pt>
                <c:pt idx="2">
                  <c:v>547724.2</c:v>
                </c:pt>
              </c:numCache>
            </c:numRef>
          </c:val>
        </c:ser>
        <c:gapWidth val="91"/>
        <c:overlap val="-20"/>
        <c:axId val="96264489"/>
        <c:axId val="85317258"/>
      </c:barChart>
      <c:catAx>
        <c:axId val="96264489"/>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85317258"/>
        <c:crosses val="autoZero"/>
        <c:auto val="1"/>
        <c:lblAlgn val="ctr"/>
        <c:lblOffset val="100"/>
        <c:noMultiLvlLbl val="0"/>
      </c:catAx>
      <c:valAx>
        <c:axId val="85317258"/>
        <c:scaling>
          <c:orientation val="minMax"/>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96264489"/>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13251656457"/>
          <c:y val="0.0689869484151647"/>
          <c:w val="0.871358919864983"/>
          <c:h val="0.849596022374145"/>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Lbls>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2732.3</c:v>
                </c:pt>
                <c:pt idx="1">
                  <c:v>214.3</c:v>
                </c:pt>
                <c:pt idx="2">
                  <c:v>2018.5</c:v>
                </c:pt>
              </c:numCache>
            </c:numRef>
          </c:val>
        </c:ser>
        <c:gapWidth val="91"/>
        <c:overlap val="-20"/>
        <c:axId val="75442949"/>
        <c:axId val="2769417"/>
      </c:barChart>
      <c:catAx>
        <c:axId val="75442949"/>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2769417"/>
        <c:crosses val="autoZero"/>
        <c:auto val="1"/>
        <c:lblAlgn val="ctr"/>
        <c:lblOffset val="100"/>
        <c:noMultiLvlLbl val="0"/>
      </c:catAx>
      <c:valAx>
        <c:axId val="2769417"/>
        <c:scaling>
          <c:orientation val="minMax"/>
          <c:min val="0"/>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75442949"/>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13363028953"/>
          <c:y val="0.0690630720585788"/>
          <c:w val="0.871358574610245"/>
          <c:h val="0.849558994841072"/>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Lbls>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318560.4</c:v>
                </c:pt>
                <c:pt idx="1">
                  <c:v>373682.7</c:v>
                </c:pt>
                <c:pt idx="2">
                  <c:v>346843.9</c:v>
                </c:pt>
              </c:numCache>
            </c:numRef>
          </c:val>
        </c:ser>
        <c:gapWidth val="91"/>
        <c:overlap val="-20"/>
        <c:axId val="41685013"/>
        <c:axId val="40147199"/>
      </c:barChart>
      <c:catAx>
        <c:axId val="41685013"/>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40147199"/>
        <c:crosses val="autoZero"/>
        <c:auto val="1"/>
        <c:lblAlgn val="ctr"/>
        <c:lblOffset val="100"/>
        <c:noMultiLvlLbl val="0"/>
      </c:catAx>
      <c:valAx>
        <c:axId val="40147199"/>
        <c:scaling>
          <c:orientation val="minMax"/>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41685013"/>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106061862509329"/>
          <c:y val="0.0691056910569106"/>
          <c:w val="0.871299444398375"/>
          <c:h val="0.849593495934959"/>
        </c:manualLayout>
      </c:layout>
      <c:barChart>
        <c:barDir val="col"/>
        <c:grouping val="clustered"/>
        <c:varyColors val="0"/>
        <c:ser>
          <c:idx val="0"/>
          <c:order val="0"/>
          <c:tx>
            <c:strRef>
              <c:f>label 0</c:f>
              <c:strCache>
                <c:ptCount val="1"/>
                <c:pt idx="0">
                  <c:v>Ряд 1</c:v>
                </c:pt>
              </c:strCache>
            </c:strRef>
          </c:tx>
          <c:spPr>
            <a:pattFill prst="ltUpDiag">
              <a:fgClr>
                <a:srgbClr val="052F61"/>
              </a:fgClr>
              <a:bgClr>
                <a:srgbClr val="FFFFFF"/>
              </a:bgClr>
            </a:pattFill>
            <a:ln w="0">
              <a:noFill/>
            </a:ln>
          </c:spPr>
          <c:invertIfNegative val="0"/>
          <c:dLbls>
            <c:txPr>
              <a:bodyPr wrap="square"/>
              <a:lstStyle/>
              <a:p>
                <a:pPr>
                  <a:defRPr sz="800" b="0" u="none" strike="noStrike">
                    <a:solidFill>
                      <a:srgbClr val="FFFFFF"/>
                    </a:solidFill>
                    <a:uFillTx/>
                    <a:latin typeface="Century Gothic"/>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2022</c:v>
                </c:pt>
                <c:pt idx="1">
                  <c:v>2023</c:v>
                </c:pt>
                <c:pt idx="2">
                  <c:v>2024</c:v>
                </c:pt>
              </c:strCache>
            </c:strRef>
          </c:cat>
          <c:val>
            <c:numRef>
              <c:f>0</c:f>
              <c:numCache>
                <c:formatCode>General</c:formatCode>
                <c:ptCount val="3"/>
                <c:pt idx="0">
                  <c:v>64222.4</c:v>
                </c:pt>
                <c:pt idx="1">
                  <c:v>117496.6</c:v>
                </c:pt>
                <c:pt idx="2">
                  <c:v>169661</c:v>
                </c:pt>
              </c:numCache>
            </c:numRef>
          </c:val>
        </c:ser>
        <c:gapWidth val="91"/>
        <c:overlap val="-20"/>
        <c:axId val="56539417"/>
        <c:axId val="63575577"/>
      </c:barChart>
      <c:catAx>
        <c:axId val="56539417"/>
        <c:scaling>
          <c:orientation val="minMax"/>
        </c:scaling>
        <c:delete val="0"/>
        <c:axPos val="b"/>
        <c:majorGridlines>
          <c:spPr>
            <a:ln cap="rnd" w="9360">
              <a:solidFill>
                <a:srgbClr val="FFFFFF">
                  <a:alpha val="25000"/>
                </a:srgbClr>
              </a:solidFill>
              <a:round/>
            </a:ln>
          </c:spPr>
        </c:majorGridlines>
        <c:numFmt formatCode="General" sourceLinked="0"/>
        <c:majorTickMark val="none"/>
        <c:minorTickMark val="none"/>
        <c:tickLblPos val="nextTo"/>
        <c:spPr>
          <a:ln cap="rnd" w="3240">
            <a:solidFill>
              <a:srgbClr val="167BF3"/>
            </a:solidFill>
            <a:round/>
          </a:ln>
        </c:spPr>
        <c:txPr>
          <a:bodyPr/>
          <a:lstStyle/>
          <a:p>
            <a:pPr>
              <a:defRPr sz="800" b="0" u="none" strike="noStrike">
                <a:solidFill>
                  <a:srgbClr val="FFFFFF"/>
                </a:solidFill>
                <a:uFillTx/>
                <a:latin typeface="Century Gothic"/>
              </a:defRPr>
            </a:pPr>
          </a:p>
        </c:txPr>
        <c:crossAx val="63575577"/>
        <c:crosses val="autoZero"/>
        <c:auto val="1"/>
        <c:lblAlgn val="ctr"/>
        <c:lblOffset val="100"/>
        <c:noMultiLvlLbl val="0"/>
      </c:catAx>
      <c:valAx>
        <c:axId val="63575577"/>
        <c:scaling>
          <c:orientation val="minMax"/>
        </c:scaling>
        <c:delete val="0"/>
        <c:axPos val="l"/>
        <c:numFmt formatCode="#,##0" sourceLinked="0"/>
        <c:majorTickMark val="none"/>
        <c:minorTickMark val="none"/>
        <c:tickLblPos val="nextTo"/>
        <c:spPr>
          <a:ln w="9360">
            <a:noFill/>
          </a:ln>
        </c:spPr>
        <c:txPr>
          <a:bodyPr/>
          <a:lstStyle/>
          <a:p>
            <a:pPr>
              <a:defRPr sz="800" b="0" u="none" strike="noStrike">
                <a:solidFill>
                  <a:srgbClr val="FFFFFF"/>
                </a:solidFill>
                <a:uFillTx/>
                <a:latin typeface="Century Gothic"/>
              </a:defRPr>
            </a:pPr>
          </a:p>
        </c:txPr>
        <c:crossAx val="56539417"/>
        <c:crosses val="autoZero"/>
        <c:crossBetween val="between"/>
      </c:valAx>
      <c:spPr>
        <a:noFill/>
        <a:ln w="0">
          <a:noFill/>
        </a:ln>
      </c:spPr>
    </c:plotArea>
    <c:plotVisOnly val="1"/>
    <c:dispBlanksAs val="gap"/>
  </c:chart>
  <c:spPr>
    <a:solidFill>
      <a:srgbClr val="052F61"/>
    </a:solidFill>
    <a:ln w="9360">
      <a:solidFill>
        <a:srgbClr val="052F61"/>
      </a:solidFill>
      <a:round/>
    </a:ln>
  </c:spPr>
  <c:externalData r:id="rId1"/>
</c:chartSpace>
</file>

<file path=word/drawings/drawing1.xml><?xml version="1.0" encoding="utf-8"?>
<c:userShapes xmlns:cdr="http://schemas.openxmlformats.org/drawingml/2006/chartDrawing" xmlns:a="http://schemas.openxmlformats.org/drawingml/2006/main" xmlns:c="http://schemas.openxmlformats.org/drawingml/2006/chart" xmlns:r="http://schemas.openxmlformats.org/officeDocument/2006/relationships">
  <cdr:relSizeAnchor>
    <cdr:from>
      <cdr:x>0.312297040622511</cdr:x>
      <cdr:y>0.289399492528898</cdr:y>
    </cdr:from>
    <cdr:to>
      <cdr:x>0.313461184976411</cdr:x>
      <cdr:y>0.956019171130533</cdr:y>
    </cdr:to>
    <cdr:cxnSp>
      <cdr:nvCxnSpPr>
        <cdr:cNvPr id="12" name="Пряма сполучна лінія 1"/>
        <cdr:cNvCxnSpPr/>
      </cdr:nvCxnSpPr>
      <cdr:spPr>
        <a:xfrm flipH="1">
          <a:off x="0" y="0"/>
          <a:ext cx="7200" cy="1702800"/>
        </a:xfrm>
        <a:prstGeom prst="straightConnector1">
          <a:avLst/>
        </a:prstGeom>
        <a:ln cap="rnd" w="28440">
          <a:solidFill>
            <a:srgbClr val="000000"/>
          </a:solidFill>
          <a:round/>
        </a:ln>
      </cdr:spPr>
    </cdr:cxnSp>
  </cdr:relSizeAnchor>
</c:userShape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12042</TotalTime>
  <Application>LibreOffice/26.2.1.2$Windows_X86_64 LibreOffice_project/620$Build-2</Application>
  <AppVersion>15.0000</AppVersion>
  <Pages>118</Pages>
  <Words>21101</Words>
  <Characters>143952</Characters>
  <CharactersWithSpaces>158918</CharactersWithSpaces>
  <Paragraphs>6456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2025-12-09T16:07:13Z</dcterms:created>
  <dc:creator/>
  <dc:description/>
  <dc:language>uk-UA</dc:language>
  <cp:lastModifiedBy/>
  <cp:lastPrinted>2026-08-21T11:19:52Z</cp:lastPrinted>
  <dcterms:modified xsi:type="dcterms:W3CDTF">2026-09-29T15:09:19Z</dcterms:modified>
  <cp:revision>1999</cp:revision>
  <dc:subject/>
  <dc:title/>
</cp:coreProperties>
</file>