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bidi w:val="0"/>
        <w:spacing w:before="0" w:after="0"/>
        <w:jc w:val="center"/>
        <w:rPr/>
      </w:pPr>
      <w:r>
        <w:rPr>
          <w:lang w:val="uk-UA"/>
        </w:rPr>
        <w:t xml:space="preserve">                                                                                                            </w:t>
      </w:r>
      <w:r>
        <w:rPr>
          <w:b/>
          <w:bCs/>
          <w:lang w:val="uk-UA"/>
        </w:rPr>
        <w:t xml:space="preserve">                                    </w:t>
      </w:r>
    </w:p>
    <w:p>
      <w:pPr>
        <w:pStyle w:val="Style15"/>
        <w:bidi w:val="0"/>
        <w:spacing w:before="0" w:after="0"/>
        <w:jc w:val="center"/>
        <w:rPr/>
      </w:pPr>
      <w:r>
        <w:rPr>
          <w:rFonts w:cs="Times New Roman"/>
          <w:b/>
          <w:bCs/>
          <w:sz w:val="28"/>
          <w:szCs w:val="28"/>
          <w:lang w:val="uk-UA"/>
        </w:rPr>
        <w:t>ПОКРОВСЬКА МІСЬКА РАДА</w:t>
      </w:r>
    </w:p>
    <w:p>
      <w:pPr>
        <w:pStyle w:val="Style15"/>
        <w:bidi w:val="0"/>
        <w:spacing w:before="0" w:after="0"/>
        <w:jc w:val="center"/>
        <w:rPr/>
      </w:pPr>
      <w:r>
        <w:rPr>
          <w:rFonts w:cs="Times New Roman"/>
          <w:b/>
          <w:bCs/>
          <w:sz w:val="28"/>
          <w:szCs w:val="28"/>
          <w:lang w:val="uk-UA"/>
        </w:rPr>
        <w:t>ДНІПРОПЕТРОВСЬКОЇ ОБЛАСТІ</w:t>
      </w:r>
    </w:p>
    <w:p>
      <w:pPr>
        <w:pStyle w:val="Style15"/>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44450</wp:posOffset>
                </wp:positionV>
                <wp:extent cx="6122670" cy="17145"/>
                <wp:effectExtent l="0" t="0" r="0" b="0"/>
                <wp:wrapNone/>
                <wp:docPr id="1" name="Фігура1"/>
                <a:graphic xmlns:a="http://schemas.openxmlformats.org/drawingml/2006/main">
                  <a:graphicData uri="http://schemas.microsoft.com/office/word/2010/wordprocessingShape">
                    <wps:wsp>
                      <wps:cNvSpPr/>
                      <wps:spPr>
                        <a:xfrm flipV="1">
                          <a:off x="0" y="0"/>
                          <a:ext cx="6122160" cy="100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3.5pt" to="483.3pt,4.25pt" ID="Фігура1" stroked="t" style="position:absolute;flip:y">
                <v:stroke color="black" weight="17640" joinstyle="round" endcap="flat"/>
                <v:fill o:detectmouseclick="t" on="false"/>
              </v:line>
            </w:pict>
          </mc:Fallback>
        </mc:AlternateContent>
      </w:r>
    </w:p>
    <w:p>
      <w:pPr>
        <w:pStyle w:val="Style15"/>
        <w:bidi w:val="0"/>
        <w:spacing w:before="0" w:after="0"/>
        <w:jc w:val="center"/>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bidi w:val="0"/>
        <w:spacing w:before="0" w:after="0"/>
        <w:ind w:left="0" w:right="0" w:hanging="0"/>
        <w:jc w:val="both"/>
        <w:rPr/>
      </w:pPr>
      <w:r>
        <w:rPr>
          <w:b/>
          <w:bCs/>
          <w:sz w:val="28"/>
          <w:szCs w:val="28"/>
          <w:lang w:val="uk-UA"/>
        </w:rPr>
        <w:t xml:space="preserve">                                                 </w:t>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both"/>
        <w:rPr/>
      </w:pPr>
      <w:r>
        <w:rPr>
          <w:sz w:val="28"/>
          <w:szCs w:val="28"/>
        </w:rPr>
        <w:t xml:space="preserve">Про встановлення податку на нерухоме </w:t>
      </w:r>
    </w:p>
    <w:p>
      <w:pPr>
        <w:pStyle w:val="Normal"/>
        <w:spacing w:lineRule="auto" w:line="240" w:before="0" w:after="0"/>
        <w:jc w:val="both"/>
        <w:rPr/>
      </w:pPr>
      <w:r>
        <w:rPr>
          <w:sz w:val="28"/>
          <w:szCs w:val="28"/>
        </w:rPr>
        <w:t xml:space="preserve">майно, відмінне від земельної ділянки </w:t>
      </w:r>
    </w:p>
    <w:p>
      <w:pPr>
        <w:pStyle w:val="Normal"/>
        <w:spacing w:lineRule="auto" w:line="240" w:before="0" w:after="0"/>
        <w:ind w:right="5528" w:hanging="0"/>
        <w:jc w:val="both"/>
        <w:rPr>
          <w:rFonts w:ascii="Times New Roman" w:hAnsi="Times New Roman"/>
          <w:sz w:val="28"/>
          <w:szCs w:val="28"/>
        </w:rPr>
      </w:pPr>
      <w:r>
        <w:rPr>
          <w:sz w:val="28"/>
          <w:szCs w:val="28"/>
        </w:rPr>
      </w:r>
    </w:p>
    <w:p>
      <w:pPr>
        <w:pStyle w:val="Normal"/>
        <w:spacing w:lineRule="auto" w:line="240" w:before="0" w:after="0"/>
        <w:ind w:firstLine="709"/>
        <w:jc w:val="both"/>
        <w:rPr/>
      </w:pPr>
      <w:r>
        <w:rPr>
          <w:sz w:val="28"/>
          <w:szCs w:val="28"/>
        </w:rPr>
        <w:t xml:space="preserve">З метою наповнення дохідної частини міського бюджету, керуючись статтями 12, 266 Податкового кодексу України, пунктом 24 </w:t>
      </w:r>
      <w:r>
        <w:rPr>
          <w:rFonts w:eastAsia="Andale Sans UI;Arial Unicode MS" w:cs="Tahoma"/>
          <w:color w:val="auto"/>
          <w:kern w:val="2"/>
          <w:sz w:val="28"/>
          <w:szCs w:val="28"/>
          <w:lang w:val="zxx" w:eastAsia="zxx" w:bidi="zxx"/>
        </w:rPr>
        <w:t>частини</w:t>
      </w:r>
      <w:r>
        <w:rPr>
          <w:sz w:val="28"/>
          <w:szCs w:val="28"/>
        </w:rPr>
        <w:t xml:space="preserve">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pPr>
      <w:r>
        <w:rPr>
          <w:b/>
          <w:sz w:val="28"/>
          <w:szCs w:val="28"/>
        </w:rPr>
        <w:t>ВИРІШИЛА:</w:t>
      </w:r>
    </w:p>
    <w:p>
      <w:pPr>
        <w:pStyle w:val="Normal"/>
        <w:spacing w:lineRule="auto" w:line="240" w:before="0" w:after="0"/>
        <w:jc w:val="center"/>
        <w:rPr>
          <w:rFonts w:ascii="Times New Roman" w:hAnsi="Times New Roman"/>
          <w:sz w:val="28"/>
          <w:szCs w:val="28"/>
        </w:rPr>
      </w:pPr>
      <w:r>
        <w:rPr>
          <w:sz w:val="28"/>
          <w:szCs w:val="28"/>
        </w:rPr>
      </w:r>
    </w:p>
    <w:p>
      <w:pPr>
        <w:pStyle w:val="StyleZakonu"/>
        <w:tabs>
          <w:tab w:val="clear" w:pos="706"/>
          <w:tab w:val="left" w:pos="900" w:leader="none"/>
        </w:tabs>
        <w:spacing w:lineRule="auto" w:line="240" w:before="0" w:after="0"/>
        <w:ind w:left="0" w:right="0" w:firstLine="720"/>
        <w:rPr/>
      </w:pPr>
      <w:r>
        <w:rPr>
          <w:sz w:val="28"/>
          <w:szCs w:val="28"/>
        </w:rPr>
        <w:t xml:space="preserve">1. </w:t>
      </w:r>
      <w:r>
        <w:rPr>
          <w:sz w:val="28"/>
          <w:szCs w:val="28"/>
          <w:lang w:val="uk-UA" w:eastAsia="zxx" w:bidi="zxx"/>
        </w:rPr>
        <w:t>Встановити</w:t>
      </w:r>
      <w:r>
        <w:rPr>
          <w:sz w:val="28"/>
          <w:szCs w:val="28"/>
        </w:rPr>
        <w:t xml:space="preserve"> з 01 січня 2022 року на території Покровської міської територіальної громади Дніпропетровської області:</w:t>
      </w:r>
    </w:p>
    <w:p>
      <w:pPr>
        <w:pStyle w:val="StyleZakonu"/>
        <w:numPr>
          <w:ilvl w:val="0"/>
          <w:numId w:val="1"/>
        </w:numPr>
        <w:tabs>
          <w:tab w:val="clear" w:pos="706"/>
          <w:tab w:val="left" w:pos="0" w:leader="none"/>
        </w:tabs>
        <w:spacing w:lineRule="auto" w:line="240" w:before="0" w:after="0"/>
        <w:ind w:left="0" w:right="0" w:firstLine="720"/>
        <w:rPr/>
      </w:pPr>
      <w:r>
        <w:rPr>
          <w:sz w:val="28"/>
          <w:szCs w:val="28"/>
        </w:rPr>
        <w:t>ставки податку на нерухоме майно, відмінне від земельної ділянки, згідно з додатком 1;</w:t>
      </w:r>
    </w:p>
    <w:p>
      <w:pPr>
        <w:pStyle w:val="StyleZakonu"/>
        <w:numPr>
          <w:ilvl w:val="0"/>
          <w:numId w:val="1"/>
        </w:numPr>
        <w:tabs>
          <w:tab w:val="clear" w:pos="706"/>
          <w:tab w:val="left" w:pos="0" w:leader="none"/>
        </w:tabs>
        <w:spacing w:lineRule="auto" w:line="240" w:before="0" w:after="0"/>
        <w:ind w:left="0" w:right="0" w:firstLine="720"/>
        <w:rPr/>
      </w:pPr>
      <w:r>
        <w:rPr>
          <w:sz w:val="28"/>
          <w:szCs w:val="28"/>
        </w:rPr>
        <w:t xml:space="preserve"> </w:t>
      </w:r>
      <w:r>
        <w:rPr>
          <w:sz w:val="28"/>
          <w:szCs w:val="28"/>
        </w:rPr>
        <w:t>пільги для фізичних та юридичних осіб, надані відповідно до підпункту 266.4.2 пункту 266.4 статті 266 Податкового кодексу України, для об’єктів нерухомості за переліком згідно з додатком 2.</w:t>
      </w:r>
    </w:p>
    <w:p>
      <w:pPr>
        <w:pStyle w:val="Normal"/>
        <w:spacing w:lineRule="auto" w:line="240" w:before="0" w:after="0"/>
        <w:ind w:firstLine="708"/>
        <w:rPr/>
      </w:pPr>
      <w:r>
        <w:rPr>
          <w:sz w:val="28"/>
          <w:szCs w:val="28"/>
        </w:rPr>
        <w:t>2. Визначити, що:</w:t>
      </w:r>
    </w:p>
    <w:p>
      <w:pPr>
        <w:pStyle w:val="Normal"/>
        <w:spacing w:lineRule="auto" w:line="240" w:before="0" w:after="0"/>
        <w:ind w:firstLine="708"/>
        <w:jc w:val="both"/>
        <w:rPr/>
      </w:pPr>
      <w:r>
        <w:rPr>
          <w:sz w:val="28"/>
          <w:szCs w:val="28"/>
        </w:rPr>
        <w:t>2.1 об’єктом оподаткування є  об’єкт нерухомості, в тому числі його частка. Поняття об’єктів житлової нерухомості вживаються в значенні типів будівель, віднесених до житлового фонду, визначеному статтею 14.1.129 Податкового кодексу України. Поняття об’єктів нежитлової нерухомості вживаються в значенні типів будівель, віднесених до об’єктів нежитлової нерухомості, визначеному статтею 14.1.129</w:t>
      </w:r>
      <w:r>
        <w:rPr>
          <w:sz w:val="28"/>
          <w:szCs w:val="28"/>
          <w:vertAlign w:val="superscript"/>
        </w:rPr>
        <w:t>1</w:t>
      </w:r>
      <w:r>
        <w:rPr>
          <w:sz w:val="28"/>
          <w:szCs w:val="28"/>
        </w:rPr>
        <w:t xml:space="preserve"> Податкового кодексу України. Не є об’єктами оподаткування об’єкти, перелічені в статті 266.2.2 Податкового кодексу України;</w:t>
      </w:r>
    </w:p>
    <w:p>
      <w:pPr>
        <w:pStyle w:val="Normal"/>
        <w:spacing w:lineRule="auto" w:line="240" w:before="0" w:after="0"/>
        <w:ind w:firstLine="708"/>
        <w:jc w:val="both"/>
        <w:rPr/>
      </w:pPr>
      <w:r>
        <w:rPr>
          <w:sz w:val="28"/>
          <w:szCs w:val="28"/>
        </w:rPr>
        <w:t xml:space="preserve">2.2 платниками податку на нерухомість є фізичні та юридичні особи, в тому числі нерезиденти, які є власниками об’єктів </w:t>
      </w:r>
      <w:r>
        <w:rPr>
          <w:sz w:val="28"/>
          <w:szCs w:val="28"/>
          <w:lang w:eastAsia="uk-UA"/>
        </w:rPr>
        <w:t>нерухомості</w:t>
      </w:r>
      <w:r>
        <w:rPr>
          <w:sz w:val="28"/>
          <w:szCs w:val="28"/>
        </w:rPr>
        <w:t xml:space="preserve">. В разі перебування об’єктів нерухомості у спільній частковій або спільній сумісній власності кількох осіб: </w:t>
      </w:r>
    </w:p>
    <w:p>
      <w:pPr>
        <w:pStyle w:val="Normal"/>
        <w:spacing w:lineRule="auto" w:line="240" w:before="0" w:after="0"/>
        <w:ind w:firstLine="360"/>
        <w:jc w:val="both"/>
        <w:rPr/>
      </w:pPr>
      <w:r>
        <w:rPr>
          <w:sz w:val="28"/>
          <w:szCs w:val="28"/>
        </w:rPr>
        <w:t xml:space="preserve">а) якщо об’єкт нерухомості перебуває у спільній частковій власності кількох осіб, платником податку є кожна з цих осіб за належну їй частку; </w:t>
      </w:r>
    </w:p>
    <w:p>
      <w:pPr>
        <w:pStyle w:val="Normal"/>
        <w:spacing w:lineRule="auto" w:line="240" w:before="0" w:after="0"/>
        <w:ind w:firstLine="360"/>
        <w:jc w:val="both"/>
        <w:rPr/>
      </w:pPr>
      <w:bookmarkStart w:id="0" w:name="__DdeLink__7694_3519978329"/>
      <w:bookmarkEnd w:id="0"/>
      <w:r>
        <w:rPr>
          <w:sz w:val="28"/>
          <w:szCs w:val="28"/>
        </w:rPr>
        <w:t>б) якщо об’єкт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pPr>
        <w:pStyle w:val="Normal"/>
        <w:spacing w:lineRule="auto" w:line="240" w:before="0" w:after="0"/>
        <w:ind w:firstLine="360"/>
        <w:jc w:val="both"/>
        <w:rPr/>
      </w:pPr>
      <w:r>
        <w:rPr>
          <w:sz w:val="28"/>
          <w:szCs w:val="28"/>
        </w:rPr>
        <w:t>в) якщо об’єкт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pStyle w:val="Normal"/>
        <w:spacing w:lineRule="auto" w:line="240" w:before="0" w:after="0"/>
        <w:ind w:firstLine="720"/>
        <w:jc w:val="both"/>
        <w:rPr/>
      </w:pPr>
      <w:r>
        <w:rPr>
          <w:sz w:val="28"/>
          <w:szCs w:val="28"/>
        </w:rPr>
        <w:t>2.3 базою оподаткування є загальна площа об’єкта нерухомості, в тому числі його часток. База оподаткування об’єктів нерухомості, які перебувають у власності фізичних осіб, обчислюється контролюючим органом. База оподаткування об’єктів нерухомості, що перебувають у власності юридичних осіб, обчислюється такими особами самостійно;</w:t>
      </w:r>
    </w:p>
    <w:p>
      <w:pPr>
        <w:pStyle w:val="Normal"/>
        <w:spacing w:lineRule="auto" w:line="240" w:before="0" w:after="0"/>
        <w:ind w:firstLine="720"/>
        <w:jc w:val="both"/>
        <w:rPr/>
      </w:pPr>
      <w:r>
        <w:rPr>
          <w:sz w:val="28"/>
          <w:szCs w:val="28"/>
        </w:rPr>
        <w:t xml:space="preserve">2.4 податок сплачується до міського бюджету у разі розташування об’єкта/об’єктів оподаткування на території Покровської міської територіальної громади Дніпропетровської області. </w:t>
      </w:r>
    </w:p>
    <w:p>
      <w:pPr>
        <w:pStyle w:val="StyleZakonu"/>
        <w:spacing w:lineRule="auto" w:line="240" w:before="0" w:after="0"/>
        <w:ind w:left="0" w:right="0" w:firstLine="708"/>
        <w:rPr/>
      </w:pPr>
      <w:r>
        <w:rPr>
          <w:sz w:val="28"/>
          <w:szCs w:val="28"/>
        </w:rPr>
        <w:t>3. Встановити, що порядок обчислення податку на нерухомість (у т.ч. у разі зміни власника), податковий період, строк та порядок сплати податку визначаються Податковим Кодексом України.</w:t>
      </w:r>
    </w:p>
    <w:p>
      <w:pPr>
        <w:pStyle w:val="StyleZakonu"/>
        <w:spacing w:lineRule="auto" w:line="240" w:before="0" w:after="0"/>
        <w:ind w:left="0" w:right="0" w:firstLine="708"/>
        <w:rPr/>
      </w:pPr>
      <w:r>
        <w:rPr>
          <w:sz w:val="28"/>
          <w:szCs w:val="28"/>
        </w:rPr>
        <w:t>4. Зобов’язати начальника Управління праці та соціального захисту населення Ігнатюк Т.М. один раз на рік у 15-денний строк після закінчення податкового (звітного) року подавати контролюючим органам електронні відомості щодо перебування на обліку управління осіб,  зазначених у додатку 2 до цього рішення категорій, для застосування пільги по сплаті податку, станом на перше число відповідного періоду.</w:t>
      </w:r>
    </w:p>
    <w:p>
      <w:pPr>
        <w:pStyle w:val="StyleZakonu"/>
        <w:spacing w:lineRule="auto" w:line="240" w:before="0" w:after="0"/>
        <w:ind w:left="0" w:right="0" w:firstLine="708"/>
        <w:rPr/>
      </w:pPr>
      <w:r>
        <w:rPr>
          <w:sz w:val="28"/>
          <w:szCs w:val="28"/>
          <w:lang w:val="ru-RU"/>
        </w:rPr>
        <w:t xml:space="preserve">5. </w:t>
      </w:r>
      <w:r>
        <w:rPr>
          <w:sz w:val="28"/>
          <w:szCs w:val="28"/>
        </w:rPr>
        <w:t>Оприлюднити рішення в засобах масової інформації або в інший можливий спосіб.</w:t>
      </w:r>
    </w:p>
    <w:p>
      <w:pPr>
        <w:pStyle w:val="Normal"/>
        <w:spacing w:lineRule="auto" w:line="240" w:before="0" w:after="0"/>
        <w:ind w:firstLine="708"/>
        <w:jc w:val="both"/>
        <w:rPr/>
      </w:pPr>
      <w:r>
        <w:rPr>
          <w:sz w:val="28"/>
          <w:szCs w:val="28"/>
        </w:rPr>
        <w:t>6. Рішення набирає чинності з 01 січня 2022 року.</w:t>
      </w:r>
    </w:p>
    <w:p>
      <w:pPr>
        <w:pStyle w:val="StyleZakonu"/>
        <w:spacing w:lineRule="auto" w:line="240" w:before="0" w:after="0"/>
        <w:ind w:left="0" w:right="0" w:firstLine="708"/>
        <w:rPr/>
      </w:pPr>
      <w:r>
        <w:rPr>
          <w:sz w:val="28"/>
          <w:szCs w:val="28"/>
          <w:lang w:val="ru-RU"/>
        </w:rPr>
        <w:t>7</w:t>
      </w:r>
      <w:r>
        <w:rPr>
          <w:sz w:val="28"/>
          <w:szCs w:val="28"/>
        </w:rPr>
        <w:t>. Вважати таким, що припиня</w:t>
      </w:r>
      <w:r>
        <w:rPr>
          <w:sz w:val="28"/>
          <w:szCs w:val="28"/>
          <w:lang w:val="uk-UA"/>
        </w:rPr>
        <w:t>є</w:t>
      </w:r>
      <w:r>
        <w:rPr>
          <w:sz w:val="28"/>
          <w:szCs w:val="28"/>
        </w:rPr>
        <w:t xml:space="preserve"> дію з 01</w:t>
      </w:r>
      <w:r>
        <w:rPr>
          <w:sz w:val="28"/>
          <w:szCs w:val="28"/>
          <w:lang w:val="ru-RU"/>
        </w:rPr>
        <w:t xml:space="preserve"> </w:t>
      </w:r>
      <w:r>
        <w:rPr>
          <w:sz w:val="28"/>
          <w:szCs w:val="28"/>
        </w:rPr>
        <w:t>січня 2022</w:t>
      </w:r>
      <w:r>
        <w:rPr>
          <w:sz w:val="28"/>
          <w:szCs w:val="28"/>
          <w:lang w:val="ru-RU"/>
        </w:rPr>
        <w:t xml:space="preserve"> </w:t>
      </w:r>
      <w:r>
        <w:rPr>
          <w:sz w:val="28"/>
          <w:szCs w:val="28"/>
        </w:rPr>
        <w:t xml:space="preserve">року рішення міської ради </w:t>
      </w:r>
      <w:r>
        <w:rPr>
          <w:rFonts w:eastAsia="Times New Roman" w:cs="Times New Roman"/>
          <w:color w:val="auto"/>
          <w:kern w:val="2"/>
          <w:sz w:val="28"/>
          <w:szCs w:val="28"/>
          <w:lang w:val="zxx" w:eastAsia="zxx" w:bidi="zxx"/>
        </w:rPr>
        <w:t>43</w:t>
      </w:r>
      <w:r>
        <w:rPr>
          <w:sz w:val="28"/>
          <w:szCs w:val="28"/>
        </w:rPr>
        <w:t xml:space="preserve"> сесії 7 скликання від </w:t>
      </w:r>
      <w:r>
        <w:rPr>
          <w:rFonts w:eastAsia="Times New Roman" w:cs="Times New Roman"/>
          <w:color w:val="auto"/>
          <w:kern w:val="2"/>
          <w:sz w:val="28"/>
          <w:szCs w:val="28"/>
          <w:lang w:val="zxx" w:eastAsia="zxx" w:bidi="zxx"/>
        </w:rPr>
        <w:t>29</w:t>
      </w:r>
      <w:r>
        <w:rPr>
          <w:sz w:val="28"/>
          <w:szCs w:val="28"/>
        </w:rPr>
        <w:t xml:space="preserve">.03.2019 № </w:t>
      </w:r>
      <w:r>
        <w:rPr>
          <w:sz w:val="28"/>
          <w:szCs w:val="28"/>
          <w:lang w:val="ru-RU"/>
        </w:rPr>
        <w:t>12</w:t>
      </w:r>
      <w:r>
        <w:rPr>
          <w:sz w:val="28"/>
          <w:szCs w:val="28"/>
        </w:rPr>
        <w:t xml:space="preserve"> «Про встановлення податку на нерухоме майно, відмінне від земельної ділянки» (</w:t>
      </w:r>
      <w:r>
        <w:rPr>
          <w:sz w:val="28"/>
          <w:szCs w:val="28"/>
          <w:lang w:val="uk-UA"/>
        </w:rPr>
        <w:t>із змінами).</w:t>
      </w:r>
    </w:p>
    <w:p>
      <w:pPr>
        <w:pStyle w:val="Normal"/>
        <w:spacing w:lineRule="auto" w:line="240" w:before="0" w:after="0"/>
        <w:ind w:firstLine="709"/>
        <w:jc w:val="both"/>
        <w:rPr/>
      </w:pPr>
      <w:r>
        <w:rPr>
          <w:sz w:val="28"/>
          <w:szCs w:val="28"/>
        </w:rPr>
        <w:t xml:space="preserve">8. Контроль за виконанням цього рішення покласти на заступника міського голови Чистякова О.Г. та на </w:t>
      </w:r>
      <w:r>
        <w:rPr>
          <w:color w:val="000000"/>
          <w:sz w:val="28"/>
          <w:szCs w:val="28"/>
        </w:rPr>
        <w:t>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jc w:val="both"/>
        <w:rPr/>
      </w:pPr>
      <w:r>
        <w:rPr>
          <w:sz w:val="28"/>
          <w:szCs w:val="28"/>
        </w:rPr>
        <w:t xml:space="preserve">Міський голова                                                   </w:t>
        <w:tab/>
        <w:tab/>
        <w:t xml:space="preserve">   </w:t>
        <w:tab/>
        <w:tab/>
        <w:t>О.М.Шаповал</w:t>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18"/>
          <w:szCs w:val="18"/>
        </w:rPr>
      </w:pPr>
      <w:r>
        <w:rPr>
          <w:sz w:val="18"/>
          <w:szCs w:val="18"/>
        </w:rPr>
      </w:r>
    </w:p>
    <w:p>
      <w:pPr>
        <w:sectPr>
          <w:headerReference w:type="default" r:id="rId2"/>
          <w:type w:val="nextPage"/>
          <w:pgSz w:w="11906" w:h="16838"/>
          <w:pgMar w:left="1701" w:right="567" w:header="1134" w:top="1191" w:footer="0" w:bottom="1134" w:gutter="0"/>
          <w:pgNumType w:fmt="decimal"/>
          <w:formProt w:val="false"/>
          <w:textDirection w:val="lrTb"/>
          <w:docGrid w:type="default" w:linePitch="360" w:charSpace="0"/>
        </w:sectPr>
        <w:pStyle w:val="Normal"/>
        <w:spacing w:lineRule="auto" w:line="240" w:before="0" w:after="0"/>
        <w:rPr>
          <w:rFonts w:ascii="Times New Roman" w:hAnsi="Times New Roman"/>
          <w:sz w:val="18"/>
          <w:szCs w:val="18"/>
        </w:rPr>
      </w:pPr>
      <w:r>
        <w:rPr>
          <w:sz w:val="18"/>
          <w:szCs w:val="18"/>
        </w:rPr>
        <w:t>Сідашова Т.В.</w:t>
      </w:r>
    </w:p>
    <w:p>
      <w:pPr>
        <w:pStyle w:val="Normal"/>
        <w:spacing w:lineRule="auto" w:line="240" w:before="0" w:after="0"/>
        <w:ind w:left="0" w:right="0" w:hanging="0"/>
        <w:rPr>
          <w:rFonts w:cs="Times New Roman"/>
          <w:sz w:val="24"/>
          <w:szCs w:val="24"/>
          <w:lang w:val="uk-UA" w:bidi="ar-SA"/>
        </w:rPr>
      </w:pPr>
      <w:r>
        <w:rPr>
          <w:rFonts w:cs="Times New Roman"/>
          <w:sz w:val="24"/>
          <w:szCs w:val="24"/>
          <w:lang w:val="uk-UA" w:bidi="ar-SA"/>
        </w:rPr>
        <w:tab/>
        <w:t xml:space="preserve">                                                                                                                                                                                                        Додаток 1</w:t>
      </w:r>
    </w:p>
    <w:p>
      <w:pPr>
        <w:pStyle w:val="Normal"/>
        <w:widowControl/>
        <w:suppressAutoHyphens w:val="true"/>
        <w:bidi w:val="0"/>
        <w:spacing w:lineRule="auto" w:line="240" w:before="0" w:after="0"/>
        <w:ind w:left="0" w:right="0" w:hanging="0"/>
        <w:jc w:val="left"/>
        <w:rPr>
          <w:rFonts w:cs="Times New Roman"/>
          <w:sz w:val="24"/>
          <w:szCs w:val="24"/>
          <w:lang w:val="uk-UA" w:bidi="ar-SA"/>
        </w:rPr>
      </w:pPr>
      <w:r>
        <w:rPr>
          <w:rFonts w:cs="Times New Roman"/>
          <w:sz w:val="24"/>
          <w:szCs w:val="24"/>
          <w:lang w:val="uk-UA" w:bidi="ar-SA"/>
        </w:rPr>
        <w:tab/>
        <w:tab/>
        <w:tab/>
        <w:tab/>
        <w:tab/>
        <w:tab/>
        <w:tab/>
        <w:tab/>
        <w:tab/>
        <w:tab/>
        <w:tab/>
        <w:tab/>
        <w:tab/>
        <w:tab/>
        <w:tab/>
        <w:tab/>
        <w:t>до рішення _____ сесії 8 скликання</w:t>
      </w:r>
    </w:p>
    <w:p>
      <w:pPr>
        <w:pStyle w:val="Normal"/>
        <w:widowControl/>
        <w:suppressAutoHyphens w:val="true"/>
        <w:bidi w:val="0"/>
        <w:spacing w:lineRule="auto" w:line="216" w:before="0" w:after="113"/>
        <w:ind w:left="0" w:right="0" w:hanging="0"/>
        <w:jc w:val="left"/>
        <w:rPr>
          <w:rFonts w:ascii="Times New Roman" w:hAnsi="Times New Roman"/>
          <w:sz w:val="26"/>
          <w:szCs w:val="26"/>
        </w:rPr>
      </w:pPr>
      <w:r>
        <w:rPr>
          <w:rFonts w:cs="Times New Roman"/>
          <w:sz w:val="26"/>
          <w:szCs w:val="26"/>
          <w:lang w:val="uk-UA" w:bidi="ar-SA"/>
        </w:rPr>
        <w:tab/>
        <w:tab/>
      </w:r>
      <w:r>
        <w:rPr>
          <w:rFonts w:cs="Times New Roman"/>
          <w:sz w:val="24"/>
          <w:szCs w:val="24"/>
          <w:lang w:val="uk-UA" w:bidi="ar-SA"/>
        </w:rPr>
        <w:tab/>
        <w:tab/>
        <w:tab/>
        <w:tab/>
        <w:tab/>
        <w:tab/>
        <w:tab/>
        <w:tab/>
        <w:tab/>
        <w:tab/>
        <w:tab/>
        <w:tab/>
        <w:tab/>
        <w:tab/>
        <w:t>_________________2021 № ____</w:t>
      </w:r>
    </w:p>
    <w:p>
      <w:pPr>
        <w:pStyle w:val="Style23"/>
        <w:spacing w:lineRule="auto" w:line="216" w:before="0" w:after="113"/>
        <w:rPr>
          <w:rFonts w:ascii="Times New Roman" w:hAnsi="Times New Roman"/>
          <w:sz w:val="26"/>
          <w:szCs w:val="26"/>
        </w:rPr>
      </w:pPr>
      <w:r>
        <w:rPr>
          <w:rFonts w:cs="Times New Roman" w:ascii="Times New Roman" w:hAnsi="Times New Roman"/>
          <w:sz w:val="24"/>
          <w:szCs w:val="24"/>
          <w:lang w:val="uk-UA" w:eastAsia="ru-RU" w:bidi="ar-SA"/>
        </w:rPr>
        <w:t>СТАВКИ</w:t>
      </w:r>
      <w:r>
        <w:rPr>
          <w:rFonts w:cs="Times New Roman" w:ascii="Times New Roman" w:hAnsi="Times New Roman"/>
          <w:sz w:val="24"/>
          <w:szCs w:val="24"/>
          <w:vertAlign w:val="superscript"/>
          <w:lang w:val="uk-UA" w:eastAsia="ru-RU" w:bidi="ar-SA"/>
        </w:rPr>
        <w:br/>
      </w:r>
      <w:r>
        <w:rPr>
          <w:rFonts w:cs="Times New Roman" w:ascii="Times New Roman" w:hAnsi="Times New Roman"/>
          <w:sz w:val="24"/>
          <w:szCs w:val="24"/>
          <w:lang w:val="uk-UA" w:eastAsia="ru-RU" w:bidi="ar-SA"/>
        </w:rPr>
        <w:t>податку на нерухоме майно, відмінне від земельної ділянки</w:t>
      </w:r>
      <w:r>
        <w:rPr>
          <w:rFonts w:cs="Times New Roman" w:ascii="Times New Roman" w:hAnsi="Times New Roman"/>
          <w:sz w:val="24"/>
          <w:szCs w:val="24"/>
          <w:lang w:val="uk-UA" w:bidi="ar-SA"/>
        </w:rPr>
        <w:t xml:space="preserve"> для об’єктів нерухомості </w:t>
      </w:r>
      <w:r>
        <w:rPr>
          <w:rFonts w:cs="Times New Roman" w:ascii="Times New Roman" w:hAnsi="Times New Roman"/>
          <w:sz w:val="24"/>
          <w:szCs w:val="24"/>
          <w:vertAlign w:val="superscript"/>
          <w:lang w:val="uk-UA" w:eastAsia="ru-RU" w:bidi="ar-SA"/>
        </w:rPr>
        <w:t>1</w:t>
      </w:r>
    </w:p>
    <w:p>
      <w:pPr>
        <w:pStyle w:val="Style24"/>
        <w:spacing w:lineRule="auto" w:line="216" w:before="0" w:after="113"/>
        <w:jc w:val="both"/>
        <w:rPr>
          <w:rFonts w:ascii="Times New Roman" w:hAnsi="Times New Roman" w:cs="Times New Roman"/>
          <w:sz w:val="24"/>
          <w:szCs w:val="24"/>
          <w:lang w:val="uk-UA" w:eastAsia="ru-RU" w:bidi="ar-SA"/>
        </w:rPr>
      </w:pPr>
      <w:r>
        <w:rPr>
          <w:rFonts w:cs="Times New Roman" w:ascii="Times New Roman" w:hAnsi="Times New Roman"/>
          <w:sz w:val="24"/>
          <w:szCs w:val="24"/>
          <w:lang w:val="uk-UA" w:eastAsia="ru-RU" w:bidi="ar-SA"/>
        </w:rPr>
        <w:t>Ставки вводяться в дію з 01 січня 2022 року.</w:t>
      </w:r>
    </w:p>
    <w:p>
      <w:pPr>
        <w:pStyle w:val="Style24"/>
        <w:spacing w:lineRule="auto" w:line="216" w:before="0" w:after="113"/>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55" w:type="dxa"/>
        <w:jc w:val="left"/>
        <w:tblInd w:w="132" w:type="dxa"/>
        <w:tblLayout w:type="fixed"/>
        <w:tblCellMar>
          <w:top w:w="0" w:type="dxa"/>
          <w:left w:w="68" w:type="dxa"/>
          <w:bottom w:w="0" w:type="dxa"/>
          <w:right w:w="108" w:type="dxa"/>
        </w:tblCellMar>
      </w:tblPr>
      <w:tblGrid>
        <w:gridCol w:w="1799"/>
        <w:gridCol w:w="1800"/>
        <w:gridCol w:w="2340"/>
        <w:gridCol w:w="9115"/>
      </w:tblGrid>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області</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району</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згідно з КОАТУУ</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1212100000</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 Покров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1222987001</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с.Шолохове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1222987002</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с.Миронівка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1222987003</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с.Улянівка Дніпропетровської обл</w:t>
            </w:r>
          </w:p>
        </w:tc>
      </w:tr>
    </w:tbl>
    <w:p>
      <w:pPr>
        <w:pStyle w:val="Normal"/>
        <w:widowControl w:val="false"/>
        <w:spacing w:lineRule="auto" w:line="216" w:before="0" w:after="113"/>
        <w:rPr>
          <w:rFonts w:cs="Times New Roman"/>
          <w:color w:val="000000"/>
          <w:sz w:val="12"/>
          <w:szCs w:val="12"/>
          <w:lang w:val="uk-UA" w:eastAsia="ru-RU"/>
        </w:rPr>
      </w:pPr>
      <w:r>
        <w:rPr>
          <w:rFonts w:cs="Times New Roman"/>
          <w:color w:val="000000"/>
          <w:sz w:val="12"/>
          <w:szCs w:val="12"/>
          <w:lang w:val="uk-UA" w:eastAsia="ru-RU"/>
        </w:rPr>
      </w:r>
    </w:p>
    <w:tbl>
      <w:tblPr>
        <w:tblW w:w="15054" w:type="dxa"/>
        <w:jc w:val="left"/>
        <w:tblInd w:w="110" w:type="dxa"/>
        <w:tblLayout w:type="fixed"/>
        <w:tblCellMar>
          <w:top w:w="0" w:type="dxa"/>
          <w:left w:w="5" w:type="dxa"/>
          <w:bottom w:w="0" w:type="dxa"/>
          <w:right w:w="13" w:type="dxa"/>
        </w:tblCellMar>
      </w:tblPr>
      <w:tblGrid>
        <w:gridCol w:w="1091"/>
        <w:gridCol w:w="7551"/>
        <w:gridCol w:w="3"/>
        <w:gridCol w:w="12"/>
        <w:gridCol w:w="1055"/>
        <w:gridCol w:w="86"/>
        <w:gridCol w:w="986"/>
        <w:gridCol w:w="12"/>
        <w:gridCol w:w="72"/>
        <w:gridCol w:w="956"/>
        <w:gridCol w:w="80"/>
        <w:gridCol w:w="9"/>
        <w:gridCol w:w="1110"/>
        <w:gridCol w:w="90"/>
        <w:gridCol w:w="2"/>
        <w:gridCol w:w="909"/>
        <w:gridCol w:w="10"/>
        <w:gridCol w:w="2"/>
        <w:gridCol w:w="1016"/>
      </w:tblGrid>
      <w:tr>
        <w:trPr>
          <w:tblHeader w:val="true"/>
          <w:trHeight w:val="23" w:hRule="atLeast"/>
        </w:trPr>
        <w:tc>
          <w:tcPr>
            <w:tcW w:w="8645"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Класифікація будівель та споруд</w:t>
            </w:r>
            <w:r>
              <w:rPr>
                <w:rFonts w:cs="Times New Roman" w:ascii="Times New Roman" w:hAnsi="Times New Roman"/>
                <w:color w:val="000000"/>
                <w:sz w:val="24"/>
                <w:szCs w:val="24"/>
                <w:vertAlign w:val="superscript"/>
                <w:lang w:val="uk-UA" w:eastAsia="ru-RU"/>
              </w:rPr>
              <w:t>2</w:t>
            </w:r>
          </w:p>
        </w:tc>
        <w:tc>
          <w:tcPr>
            <w:tcW w:w="6407"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Ставки податку</w:t>
            </w:r>
            <w:r>
              <w:rPr>
                <w:rFonts w:cs="Times New Roman" w:ascii="Times New Roman" w:hAnsi="Times New Roman"/>
                <w:color w:val="000000"/>
                <w:sz w:val="24"/>
                <w:szCs w:val="24"/>
                <w:vertAlign w:val="superscript"/>
                <w:lang w:val="uk-UA" w:eastAsia="ru-RU"/>
              </w:rPr>
              <w:t>3</w:t>
            </w:r>
            <w:r>
              <w:rPr>
                <w:rFonts w:cs="Times New Roman" w:ascii="Times New Roman" w:hAnsi="Times New Roman"/>
                <w:color w:val="000000"/>
                <w:sz w:val="24"/>
                <w:szCs w:val="24"/>
                <w:lang w:val="uk-UA" w:eastAsia="ru-RU"/>
              </w:rPr>
              <w:t xml:space="preserve"> за 1 кв. метр</w:t>
              <w:br/>
              <w:t>(відсотків розміру мінімальної заробітної плати)</w:t>
            </w:r>
          </w:p>
        </w:tc>
      </w:tr>
      <w:tr>
        <w:trPr>
          <w:tblHeader w:val="true"/>
          <w:trHeight w:val="23" w:hRule="atLeast"/>
        </w:trPr>
        <w:tc>
          <w:tcPr>
            <w:tcW w:w="109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код</w:t>
            </w:r>
            <w:r>
              <w:rPr>
                <w:rFonts w:cs="Times New Roman" w:ascii="Times New Roman" w:hAnsi="Times New Roman"/>
                <w:color w:val="000000"/>
                <w:sz w:val="24"/>
                <w:szCs w:val="24"/>
                <w:vertAlign w:val="superscript"/>
                <w:lang w:val="uk-UA" w:eastAsia="ru-RU"/>
              </w:rPr>
              <w:t>2</w:t>
            </w:r>
          </w:p>
        </w:tc>
        <w:tc>
          <w:tcPr>
            <w:tcW w:w="755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найменування</w:t>
            </w:r>
            <w:r>
              <w:rPr>
                <w:rFonts w:cs="Times New Roman" w:ascii="Times New Roman" w:hAnsi="Times New Roman"/>
                <w:color w:val="000000"/>
                <w:sz w:val="24"/>
                <w:szCs w:val="24"/>
                <w:vertAlign w:val="superscript"/>
                <w:lang w:val="uk-UA" w:eastAsia="ru-RU"/>
              </w:rPr>
              <w:t>2</w:t>
            </w:r>
          </w:p>
        </w:tc>
        <w:tc>
          <w:tcPr>
            <w:tcW w:w="3262" w:type="dxa"/>
            <w:gridSpan w:val="9"/>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юридичних осіб</w:t>
            </w:r>
          </w:p>
        </w:tc>
        <w:tc>
          <w:tcPr>
            <w:tcW w:w="3148" w:type="dxa"/>
            <w:gridSpan w:val="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фізичних осіб</w:t>
            </w:r>
          </w:p>
        </w:tc>
      </w:tr>
      <w:tr>
        <w:trPr>
          <w:tblHeader w:val="true"/>
          <w:trHeight w:val="23" w:hRule="atLeast"/>
        </w:trPr>
        <w:tc>
          <w:tcPr>
            <w:tcW w:w="109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755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одноквартирні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1"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одноквартирні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1"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садибного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1"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0,96</w:t>
            </w:r>
          </w:p>
        </w:tc>
        <w:tc>
          <w:tcPr>
            <w:tcW w:w="101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дачні та садові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1"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0,96</w:t>
            </w:r>
          </w:p>
        </w:tc>
        <w:tc>
          <w:tcPr>
            <w:tcW w:w="101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з двома та більше квартирами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двома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двоквартирні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двоквартирні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трьома та більше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підвищеної комфортності, індивідуальні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житлові готельного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Гуртожитки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Гуртожитки для робітників та службовців</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студентів вищих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учнів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Будинки-інтернати для людей похилого віку та інвалідів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1130.5</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дитини та сирітські будинки</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1130.6</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для біженців, притулки для бездомних</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1130.9</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для колективного проживання інші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17"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8"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 ресторани та подібні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готельні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Кемпінги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Пансіонати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Ресторани та бари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Туристичні бази та гірські притулки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Дитячі та сімейні табори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Центри та будинки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 не класифіковані раніше</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офісні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офісні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державного та місцевого управління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фінансового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правосуддя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закордонних представництв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Адміністративно-побутові будівлі промислових підприємств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конторських та адміністративних цілей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Торгові центри, універмаги, магазини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Криті ринки, павільйони та зали для ярмарків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Станції технічного обслуговування автомобілів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Їдальні, кафе, закусочні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Бази та склади підприємств торгівлі і громадського харчування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підприємств побутового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аеровокзали, будівлі засобів зв’язку та пов’язані з ними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Автовокзали та інші будівлі автомобільного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та інші будівлі залізничного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міського електротранспорту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Аеровокзали та інші будівлі повітряного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Морські та річкові вокзали, маяки та пов’язані з ними будівлі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станцій підвісних та канатних доріг</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центрів радіо- та телевізійного мовлення, телефонних станцій, телекомунікаційних центрів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Ангари для літаків, локомотивні, вагонні, трамвайні та тролейбусні депо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наземні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підземні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Стоянки автомобільні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Навіси для велосипедів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0,832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0,416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промислові та склади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промислові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машинобудування та металообробної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чорної металургії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хімічної та нафтохімічної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легкої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харчової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медичної та мікробіологічної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лісової, деревообробної та целюлозно-паперової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інших промислових виробництв, включаючи поліграфічне</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Резервуари, силоси та склади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для нафти, нафтопродуктів та газу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1,17</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та ємності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1,17</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зерна</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1,17</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цементу та інших сипучих матеріалів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1,17</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спеціальні товарні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Холодильники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Складські майданчики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універсальні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Склади та сховища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0</w:t>
            </w:r>
            <w:r>
              <w:rPr>
                <w:rFonts w:cs="Times New Roman" w:ascii="Times New Roman" w:hAnsi="Times New Roman"/>
                <w:color w:val="000000"/>
                <w:sz w:val="24"/>
                <w:szCs w:val="26"/>
                <w:lang w:val="uk-UA" w:eastAsia="ru-RU"/>
              </w:rPr>
              <w:t>,6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закладів освітнього, медичного та оздоровчого призначення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Театри, кінотеатри та концертні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засідань та багатоцільові зали для публічних виступів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Цирки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Казино, ігорні будинки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eastAsia="Times New Roman" w:cs="Times New Roman" w:ascii="Times New Roman" w:hAnsi="Times New Roman"/>
                <w:color w:val="000000"/>
                <w:kern w:val="2"/>
                <w:sz w:val="24"/>
                <w:szCs w:val="24"/>
                <w:lang w:val="uk-UA" w:eastAsia="ru-RU" w:bidi="zxx"/>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Музичні та танцювальні зали, дискотеки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Музеї та бібліотеки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Музеї та художні галереї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Бібліотеки, книгосховища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Технічні центри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Планетарії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архівів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зоологічних та ботанічних садів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навчальних та дослідних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науково-дослідних та проектно-вишукувальних установ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вищих навчальних закладів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шкіл та інших середніх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професійно-технічних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дошкільних та позашкільних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спеціальних навчальних закладів для дітей з особливими потребами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закладів з фахової перепідготовки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метеорологічних станцій, обсерваторій</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освітніх та науково-дослідних закладів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лікарень та оздоровчих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багатопрофільні територіального обслуговування,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профільні, диспансери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Материнські та дитячі реабілітаційні центри, пологові будинки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Поліклініки, пункти медичного обслуговування та консультації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Шпиталі виправних закладів, в’язниць та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Санаторії, профілакторії та центри функціональної реабілітації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Заклади лікувально-профілактичні та оздоровчі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Зали спортивні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гімнастичні, баскетбольні, волейбольні, тенісні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Басейни криті для плавання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Хокейні та льодові стадіони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Манежі легкоатлетичні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Тири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спортивні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 інші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лісівництва та рибного господарства</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тваринництва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птахівництва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зберігання зерна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силосні та сінажні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садівництва, виноградарства та виноробства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тепличного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рибного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лісівництва та звірівництва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для культової та релігійної діяльності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Церкви, собори, костьоли, мечеті, синагоги тощо</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Похоронні бюро та ритуальні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Цвинтарі та крематорії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Пам’ятки історичні та такі, що охороняються державою</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Пам’ятки історії та архітектури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Археологічні розкопки, руїни та історичні місця, що охороняються державою</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Меморіали, художньо-декоративні будівлі, статуї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інші, не класифіковані раніше</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Казарми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поліцейських та пожежних служб</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виправних закладів, в’язниць та слідчих ізоляторів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лазень та пралень</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 облаштування населених пунктів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0"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8"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bl>
    <w:p>
      <w:pPr>
        <w:pStyle w:val="Style24"/>
        <w:spacing w:lineRule="auto" w:line="216" w:before="0" w:after="113"/>
        <w:jc w:val="both"/>
        <w:rPr>
          <w:rFonts w:ascii="Times New Roman" w:hAnsi="Times New Roman" w:cs="Times New Roman"/>
          <w:color w:val="000000"/>
          <w:szCs w:val="26"/>
          <w:lang w:val="uk-UA" w:eastAsia="ru-RU" w:bidi="ar-SA"/>
        </w:rPr>
      </w:pPr>
      <w:r>
        <w:rPr>
          <w:rFonts w:cs="Times New Roman" w:ascii="Times New Roman" w:hAnsi="Times New Roman"/>
          <w:color w:val="000000"/>
          <w:szCs w:val="26"/>
          <w:lang w:val="uk-UA" w:eastAsia="ru-RU" w:bidi="ar-SA"/>
        </w:rPr>
        <w:t>__________</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1</w:t>
      </w:r>
      <w:r>
        <w:rPr>
          <w:rFonts w:cs="Times New Roman" w:ascii="Times New Roman" w:hAnsi="Times New Roman"/>
          <w:color w:val="000000"/>
          <w:sz w:val="22"/>
          <w:szCs w:val="22"/>
          <w:lang w:val="uk-UA" w:eastAsia="ru-RU" w:bidi="ar-S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2</w:t>
      </w:r>
      <w:r>
        <w:rPr>
          <w:rFonts w:cs="Times New Roman" w:ascii="Times New Roman" w:hAnsi="Times New Roman"/>
          <w:color w:val="000000"/>
          <w:sz w:val="22"/>
          <w:szCs w:val="22"/>
          <w:lang w:val="uk-UA" w:eastAsia="ru-RU" w:bidi="ar-SA"/>
        </w:rPr>
        <w:t xml:space="preserve"> Кл</w:t>
      </w:r>
      <w:r>
        <w:rPr>
          <w:rFonts w:cs="Times New Roman" w:ascii="Times New Roman" w:hAnsi="Times New Roman"/>
          <w:sz w:val="22"/>
          <w:szCs w:val="22"/>
          <w:lang w:val="uk-UA" w:eastAsia="ru-RU" w:bidi="ar-SA"/>
        </w:rPr>
        <w:t>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3</w:t>
      </w:r>
      <w:r>
        <w:rPr>
          <w:rFonts w:cs="Times New Roman" w:ascii="Times New Roman" w:hAnsi="Times New Roman"/>
          <w:sz w:val="22"/>
          <w:szCs w:val="22"/>
          <w:lang w:val="uk-UA" w:eastAsia="ru-RU" w:bidi="ar-SA"/>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4</w:t>
      </w:r>
      <w:r>
        <w:rPr>
          <w:rFonts w:cs="Times New Roman" w:ascii="Times New Roman" w:hAnsi="Times New Roman"/>
          <w:sz w:val="22"/>
          <w:szCs w:val="22"/>
          <w:lang w:val="uk-UA" w:eastAsia="ru-RU" w:bidi="ar-SA"/>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5</w:t>
      </w:r>
      <w:r>
        <w:rPr>
          <w:rFonts w:cs="Times New Roman" w:ascii="Times New Roman" w:hAnsi="Times New Roman"/>
          <w:sz w:val="22"/>
          <w:szCs w:val="22"/>
          <w:lang w:val="uk-UA" w:eastAsia="ru-RU" w:bidi="ar-S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sz w:val="22"/>
          <w:szCs w:val="22"/>
          <w:vertAlign w:val="superscript"/>
          <w:lang w:val="uk-UA" w:eastAsia="ru-RU" w:bidi="ar-SA"/>
        </w:rPr>
        <w:t xml:space="preserve"> </w:t>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Normal"/>
        <w:spacing w:lineRule="auto" w:line="240" w:before="0" w:after="0"/>
        <w:ind w:left="0" w:right="0" w:hanging="0"/>
        <w:rPr>
          <w:rFonts w:ascii="Times New Roman" w:hAnsi="Times New Roman"/>
          <w:sz w:val="26"/>
          <w:szCs w:val="26"/>
        </w:rPr>
      </w:pPr>
      <w:r>
        <w:rPr>
          <w:rFonts w:cs="Times New Roman"/>
          <w:sz w:val="24"/>
          <w:szCs w:val="24"/>
          <w:lang w:val="uk-UA" w:bidi="ar-SA"/>
        </w:rPr>
        <w:b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sectPr>
          <w:headerReference w:type="default" r:id="rId3"/>
          <w:type w:val="nextPage"/>
          <w:pgSz w:orient="landscape" w:w="16838" w:h="11906"/>
          <w:pgMar w:left="851" w:right="539" w:header="0" w:top="899" w:footer="0" w:bottom="709" w:gutter="0"/>
          <w:pgNumType w:fmt="decimal"/>
          <w:formProt w:val="false"/>
          <w:textDirection w:val="lrTb"/>
          <w:docGrid w:type="default" w:linePitch="360" w:charSpace="0"/>
        </w:sectPr>
        <w:pStyle w:val="Style15"/>
        <w:rPr>
          <w:lang w:val="uk-UA" w:bidi="ar-SA"/>
        </w:rPr>
      </w:pPr>
      <w:r>
        <w:rPr>
          <w:lang w:val="uk-UA" w:bidi="ar-SA"/>
        </w:rPr>
        <w:br/>
      </w:r>
    </w:p>
    <w:p>
      <w:pPr>
        <w:pStyle w:val="Normal"/>
        <w:bidi w:val="0"/>
        <w:spacing w:lineRule="auto" w:line="240" w:before="0" w:after="0"/>
        <w:jc w:val="center"/>
        <w:rPr>
          <w:rFonts w:ascii="Times New Roman" w:hAnsi="Times New Roman"/>
          <w:sz w:val="26"/>
          <w:szCs w:val="26"/>
        </w:rPr>
      </w:pPr>
      <w:r>
        <w:rPr>
          <w:b/>
          <w:bCs/>
          <w:color w:val="000000"/>
          <w:spacing w:val="34"/>
          <w:sz w:val="24"/>
          <w:szCs w:val="24"/>
          <w:lang w:val="uk-UA" w:bidi="ar-SA"/>
        </w:rPr>
        <w:t>Відповідність вулиць та провулків зонам Покровської міської територіальної громади Дніпропетровської області</w:t>
      </w:r>
    </w:p>
    <w:tbl>
      <w:tblPr>
        <w:tblW w:w="9639" w:type="dxa"/>
        <w:jc w:val="left"/>
        <w:tblInd w:w="6" w:type="dxa"/>
        <w:tblLayout w:type="fixed"/>
        <w:tblCellMar>
          <w:top w:w="0" w:type="dxa"/>
          <w:left w:w="68" w:type="dxa"/>
          <w:bottom w:w="0" w:type="dxa"/>
          <w:right w:w="108" w:type="dxa"/>
        </w:tblCellMar>
        <w:tblLook w:val="0000" w:noHBand="0" w:noVBand="0" w:firstColumn="0" w:lastRow="0" w:lastColumn="0" w:firstRow="0"/>
      </w:tblPr>
      <w:tblGrid>
        <w:gridCol w:w="840"/>
        <w:gridCol w:w="8798"/>
      </w:tblGrid>
      <w:tr>
        <w:trPr/>
        <w:tc>
          <w:tcPr>
            <w:tcW w:w="840" w:type="dxa"/>
            <w:tcBorders>
              <w:top w:val="single" w:sz="4" w:space="0" w:color="000001"/>
              <w:left w:val="single" w:sz="4" w:space="0" w:color="000001"/>
              <w:bottom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Зона</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Перелік вулиць та провулків</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1</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Пушкіна, Титова, Ушакова</w:t>
            </w:r>
          </w:p>
        </w:tc>
      </w:tr>
      <w:tr>
        <w:trPr>
          <w:trHeight w:val="4615" w:hRule="atLeast"/>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2</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w:t>
            </w:r>
          </w:p>
          <w:p>
            <w:pPr>
              <w:pStyle w:val="Normal"/>
              <w:widowControl w:val="false"/>
              <w:tabs>
                <w:tab w:val="clear" w:pos="706"/>
                <w:tab w:val="left" w:pos="6165" w:leader="none"/>
              </w:tabs>
              <w:spacing w:lineRule="auto" w:line="240" w:before="120" w:after="0"/>
              <w:jc w:val="both"/>
              <w:rPr>
                <w:color w:val="000000"/>
              </w:rPr>
            </w:pPr>
            <w:r>
              <w:rPr>
                <w:b/>
                <w:color w:val="000000"/>
                <w:sz w:val="24"/>
                <w:szCs w:val="24"/>
              </w:rPr>
              <w:t>смт.Чортомлик</w:t>
            </w:r>
            <w:r>
              <w:rPr>
                <w:color w:val="000000"/>
                <w:sz w:val="24"/>
                <w:szCs w:val="24"/>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p>
            <w:pPr>
              <w:pStyle w:val="Normal"/>
              <w:widowControl w:val="false"/>
              <w:tabs>
                <w:tab w:val="clear" w:pos="706"/>
                <w:tab w:val="left" w:pos="6165" w:leader="none"/>
              </w:tabs>
              <w:spacing w:lineRule="auto" w:line="240" w:before="0" w:after="0"/>
              <w:jc w:val="both"/>
              <w:rPr>
                <w:color w:val="000000"/>
                <w:sz w:val="24"/>
                <w:szCs w:val="24"/>
              </w:rPr>
            </w:pPr>
            <w:r>
              <w:rPr>
                <w:color w:val="000000"/>
                <w:sz w:val="24"/>
                <w:szCs w:val="24"/>
              </w:rPr>
            </w:r>
          </w:p>
          <w:p>
            <w:pPr>
              <w:pStyle w:val="Normal"/>
              <w:widowControl w:val="false"/>
              <w:tabs>
                <w:tab w:val="clear" w:pos="706"/>
                <w:tab w:val="left" w:pos="6165" w:leader="none"/>
              </w:tabs>
              <w:spacing w:lineRule="auto" w:line="240" w:before="0" w:after="0"/>
              <w:jc w:val="both"/>
              <w:rPr>
                <w:color w:val="000000"/>
              </w:rPr>
            </w:pPr>
            <w:r>
              <w:rPr>
                <w:b/>
                <w:color w:val="000000"/>
                <w:sz w:val="24"/>
                <w:szCs w:val="24"/>
                <w:shd w:fill="auto" w:val="clear"/>
              </w:rPr>
              <w:t>с.Шолохове</w:t>
            </w:r>
            <w:r>
              <w:rPr>
                <w:color w:val="000000"/>
                <w:sz w:val="24"/>
                <w:szCs w:val="24"/>
                <w:shd w:fill="auto" w:val="clear"/>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widowControl w:val="false"/>
              <w:tabs>
                <w:tab w:val="clear" w:pos="706"/>
                <w:tab w:val="left" w:pos="6165" w:leader="none"/>
              </w:tabs>
              <w:spacing w:lineRule="auto" w:line="240" w:before="0" w:after="0"/>
              <w:jc w:val="both"/>
              <w:rPr>
                <w:color w:val="000000"/>
              </w:rPr>
            </w:pPr>
            <w:r>
              <w:rPr>
                <w:color w:val="000000"/>
                <w:sz w:val="24"/>
                <w:szCs w:val="24"/>
                <w:shd w:fill="auto" w:val="clear"/>
              </w:rPr>
              <w:t>провулки: Вільний, Крутий, Ломаний, Прямий.</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3</w:t>
            </w:r>
          </w:p>
        </w:tc>
        <w:tc>
          <w:tcPr>
            <w:tcW w:w="8798"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смт.Гірницьке</w:t>
            </w:r>
            <w:r>
              <w:rPr>
                <w:color w:val="000000"/>
                <w:sz w:val="24"/>
                <w:szCs w:val="24"/>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с.П.Хутори</w:t>
            </w:r>
            <w:r>
              <w:rPr>
                <w:color w:val="000000"/>
                <w:sz w:val="24"/>
                <w:szCs w:val="24"/>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 xml:space="preserve">с. Миронівка </w:t>
            </w:r>
            <w:r>
              <w:rPr>
                <w:color w:val="000000"/>
                <w:sz w:val="24"/>
                <w:szCs w:val="24"/>
              </w:rPr>
              <w:t>вулиці: Дальня, Набережна, Січова, Шевченко, Садова, Шкільна, Зарічна, Матросова;</w:t>
            </w:r>
          </w:p>
          <w:p>
            <w:pPr>
              <w:pStyle w:val="Normal"/>
              <w:widowControl w:val="false"/>
              <w:tabs>
                <w:tab w:val="clear" w:pos="706"/>
                <w:tab w:val="left" w:pos="6165" w:leader="none"/>
              </w:tabs>
              <w:spacing w:lineRule="auto" w:line="240" w:before="0" w:after="0"/>
              <w:jc w:val="both"/>
              <w:rPr>
                <w:color w:val="000000"/>
              </w:rPr>
            </w:pPr>
            <w:r>
              <w:rPr>
                <w:color w:val="000000"/>
                <w:sz w:val="24"/>
                <w:szCs w:val="24"/>
              </w:rPr>
              <w:t>провулки: Гагаріна, Матросова, Партизанський, Степовий, Шкільний.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с.Улянівка</w:t>
            </w:r>
            <w:r>
              <w:rPr>
                <w:color w:val="000000"/>
                <w:sz w:val="24"/>
                <w:szCs w:val="24"/>
              </w:rPr>
              <w:t xml:space="preserve"> вулиці: Гагаріна, Чкалова</w:t>
            </w:r>
          </w:p>
        </w:tc>
      </w:tr>
    </w:tbl>
    <w:p>
      <w:pPr>
        <w:pStyle w:val="Normal"/>
        <w:tabs>
          <w:tab w:val="clear" w:pos="706"/>
          <w:tab w:val="left" w:pos="6165" w:leader="none"/>
        </w:tabs>
        <w:spacing w:lineRule="auto" w:line="240" w:before="120" w:after="0"/>
        <w:jc w:val="both"/>
        <w:rPr>
          <w:color w:val="000000"/>
        </w:rPr>
      </w:pPr>
      <w:r>
        <w:rPr>
          <w:color w:val="000000"/>
        </w:rPr>
      </w:r>
    </w:p>
    <w:p>
      <w:pPr>
        <w:pStyle w:val="Normal"/>
        <w:tabs>
          <w:tab w:val="clear" w:pos="706"/>
          <w:tab w:val="left" w:pos="6165" w:leader="none"/>
        </w:tabs>
        <w:spacing w:lineRule="auto" w:line="240" w:before="120" w:after="0"/>
        <w:jc w:val="both"/>
        <w:rPr>
          <w:sz w:val="24"/>
          <w:szCs w:val="24"/>
        </w:rPr>
      </w:pPr>
      <w:r>
        <w:rPr>
          <w:rFonts w:cs="Times New Roman"/>
          <w:b w:val="false"/>
          <w:bCs w:val="false"/>
          <w:color w:val="000000"/>
          <w:position w:val="0"/>
          <w:sz w:val="24"/>
          <w:sz w:val="24"/>
          <w:szCs w:val="24"/>
          <w:vertAlign w:val="baseline"/>
          <w:lang w:val="uk-UA" w:eastAsia="ru-RU"/>
        </w:rPr>
        <w:t>Начальник відділу економіки</w:t>
        <w:tab/>
        <w:tab/>
        <w:tab/>
        <w:tab/>
        <w:t xml:space="preserve">Т.В. </w:t>
      </w:r>
      <w:r>
        <w:rPr>
          <w:rFonts w:eastAsia="Calibri" w:cs="Times New Roman"/>
          <w:b w:val="false"/>
          <w:bCs w:val="false"/>
          <w:color w:val="000000"/>
          <w:kern w:val="0"/>
          <w:position w:val="0"/>
          <w:sz w:val="24"/>
          <w:sz w:val="24"/>
          <w:szCs w:val="24"/>
          <w:vertAlign w:val="baseline"/>
          <w:lang w:val="uk-UA" w:eastAsia="zh-CN" w:bidi="ar-SA"/>
        </w:rPr>
        <w:t>Сідашова</w:t>
      </w:r>
    </w:p>
    <w:p>
      <w:pPr>
        <w:pStyle w:val="Normal"/>
        <w:spacing w:lineRule="auto" w:line="240" w:before="0" w:after="0"/>
        <w:ind w:left="5954" w:hanging="0"/>
        <w:rPr>
          <w:rFonts w:ascii="Times New Roman" w:hAnsi="Times New Roman"/>
          <w:sz w:val="26"/>
          <w:szCs w:val="26"/>
        </w:rPr>
      </w:pPr>
      <w:r>
        <w:rPr>
          <w:sz w:val="26"/>
          <w:szCs w:val="26"/>
        </w:rPr>
      </w:r>
    </w:p>
    <w:p>
      <w:pPr>
        <w:pStyle w:val="Normal"/>
        <w:spacing w:lineRule="auto" w:line="240" w:before="0" w:after="0"/>
        <w:ind w:left="5954" w:hanging="0"/>
        <w:rPr>
          <w:sz w:val="22"/>
          <w:szCs w:val="22"/>
        </w:rPr>
      </w:pPr>
      <w:r>
        <w:rPr>
          <w:sz w:val="22"/>
          <w:szCs w:val="22"/>
        </w:rPr>
        <w:t xml:space="preserve">Додаток  2 </w:t>
      </w:r>
    </w:p>
    <w:p>
      <w:pPr>
        <w:pStyle w:val="Normal"/>
        <w:spacing w:lineRule="auto" w:line="240" w:before="0" w:after="0"/>
        <w:ind w:left="5954" w:hanging="0"/>
        <w:rPr>
          <w:sz w:val="22"/>
          <w:szCs w:val="22"/>
        </w:rPr>
      </w:pPr>
      <w:r>
        <w:rPr>
          <w:sz w:val="22"/>
          <w:szCs w:val="22"/>
        </w:rPr>
        <w:t xml:space="preserve">до рішення ____ сесії </w:t>
      </w:r>
      <w:r>
        <w:rPr>
          <w:rFonts w:eastAsia="Calibri" w:cs="Times New Roman"/>
          <w:color w:val="00000A"/>
          <w:kern w:val="0"/>
          <w:sz w:val="22"/>
          <w:szCs w:val="22"/>
          <w:lang w:val="uk-UA" w:eastAsia="zh-CN" w:bidi="ar-SA"/>
        </w:rPr>
        <w:t>8</w:t>
      </w:r>
      <w:r>
        <w:rPr>
          <w:sz w:val="22"/>
          <w:szCs w:val="22"/>
        </w:rPr>
        <w:t xml:space="preserve"> скликання</w:t>
      </w:r>
    </w:p>
    <w:p>
      <w:pPr>
        <w:pStyle w:val="Normal"/>
        <w:spacing w:lineRule="auto" w:line="240" w:before="0" w:after="0"/>
        <w:ind w:left="5954" w:hanging="0"/>
        <w:rPr>
          <w:sz w:val="22"/>
          <w:szCs w:val="22"/>
        </w:rPr>
      </w:pPr>
      <w:r>
        <w:rPr>
          <w:sz w:val="22"/>
          <w:szCs w:val="22"/>
        </w:rPr>
        <w:t>_____________    № ______</w:t>
      </w:r>
    </w:p>
    <w:p>
      <w:pPr>
        <w:pStyle w:val="Style23"/>
        <w:spacing w:before="57" w:after="57"/>
        <w:rPr>
          <w:sz w:val="22"/>
          <w:szCs w:val="22"/>
        </w:rPr>
      </w:pPr>
      <w:r>
        <w:rPr>
          <w:rFonts w:cs="Times New Roman" w:ascii="Times New Roman" w:hAnsi="Times New Roman"/>
          <w:sz w:val="22"/>
          <w:szCs w:val="22"/>
        </w:rPr>
        <w:t>ПЕРЕЛІК</w:t>
        <w:br/>
        <w:t xml:space="preserve">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w:t>
      </w:r>
      <w:r>
        <w:rPr>
          <w:rFonts w:cs="Times New Roman" w:ascii="Times New Roman" w:hAnsi="Times New Roman"/>
          <w:sz w:val="22"/>
          <w:szCs w:val="22"/>
          <w:vertAlign w:val="superscript"/>
        </w:rPr>
        <w:t>1</w:t>
      </w:r>
    </w:p>
    <w:p>
      <w:pPr>
        <w:pStyle w:val="Style24"/>
        <w:spacing w:lineRule="auto" w:line="240" w:before="0" w:after="0"/>
        <w:jc w:val="both"/>
        <w:rPr>
          <w:sz w:val="22"/>
          <w:szCs w:val="22"/>
        </w:rPr>
      </w:pPr>
      <w:r>
        <w:rPr>
          <w:sz w:val="22"/>
          <w:szCs w:val="22"/>
        </w:rPr>
      </w:r>
    </w:p>
    <w:p>
      <w:pPr>
        <w:pStyle w:val="Style24"/>
        <w:spacing w:before="0" w:after="0"/>
        <w:jc w:val="both"/>
        <w:rPr>
          <w:sz w:val="22"/>
          <w:szCs w:val="22"/>
        </w:rPr>
      </w:pPr>
      <w:r>
        <w:rPr>
          <w:rFonts w:cs="Times New Roman" w:ascii="Times New Roman" w:hAnsi="Times New Roman"/>
          <w:sz w:val="22"/>
          <w:szCs w:val="22"/>
        </w:rPr>
        <w:t>Пільги вводяться в дію з 01 січня 2022 року.</w:t>
      </w:r>
    </w:p>
    <w:p>
      <w:pPr>
        <w:pStyle w:val="Style24"/>
        <w:spacing w:before="0" w:after="0"/>
        <w:jc w:val="both"/>
        <w:rPr>
          <w:sz w:val="22"/>
          <w:szCs w:val="22"/>
        </w:rPr>
      </w:pPr>
      <w:r>
        <w:rPr>
          <w:rFonts w:cs="Times New Roman" w:ascii="Times New Roman" w:hAnsi="Times New Roman"/>
          <w:sz w:val="22"/>
          <w:szCs w:val="22"/>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57" w:type="dxa"/>
        <w:jc w:val="left"/>
        <w:tblInd w:w="-118" w:type="dxa"/>
        <w:tblLayout w:type="fixed"/>
        <w:tblCellMar>
          <w:top w:w="0" w:type="dxa"/>
          <w:left w:w="83" w:type="dxa"/>
          <w:bottom w:w="0" w:type="dxa"/>
          <w:right w:w="108" w:type="dxa"/>
        </w:tblCellMar>
        <w:tblLook w:val="0000" w:noHBand="0" w:noVBand="0" w:firstColumn="0" w:lastRow="0" w:lastColumn="0" w:firstRow="0"/>
      </w:tblPr>
      <w:tblGrid>
        <w:gridCol w:w="2082"/>
        <w:gridCol w:w="1571"/>
        <w:gridCol w:w="1762"/>
        <w:gridCol w:w="4341"/>
      </w:tblGrid>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області</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району</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згідно з КОАТУУ</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Найменування адміністративно-територіальної одиниці</w:t>
              <w:br/>
              <w:t>або населеного пункту, або території об’єднаної територіальної громади</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09</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1212100000</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lang w:val="uk-UA" w:bidi="ar-SA"/>
              </w:rPr>
            </w:pPr>
            <w:r>
              <w:rPr>
                <w:rFonts w:cs="Times New Roman" w:ascii="Times New Roman" w:hAnsi="Times New Roman"/>
                <w:sz w:val="22"/>
                <w:szCs w:val="22"/>
                <w:lang w:val="uk-UA" w:bidi="ar-SA"/>
              </w:rPr>
              <w:t>м. Покров Дніпропетровської області</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1222987001</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с.Шолохове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1222987002</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sz w:val="22"/>
                <w:szCs w:val="22"/>
                <w:lang w:val="uk-UA" w:bidi="ar-SA"/>
              </w:rPr>
            </w:pPr>
            <w:r>
              <w:rPr>
                <w:rFonts w:cs="Times New Roman" w:ascii="Times New Roman" w:hAnsi="Times New Roman"/>
                <w:sz w:val="22"/>
                <w:szCs w:val="22"/>
                <w:lang w:val="uk-UA" w:eastAsia="ru-RU" w:bidi="ar-SA"/>
              </w:rPr>
              <w:t>с.Миронівка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1222987003</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с.Улянівка Дніпропетровської обл</w:t>
            </w:r>
          </w:p>
        </w:tc>
      </w:tr>
    </w:tbl>
    <w:p>
      <w:pPr>
        <w:pStyle w:val="Style24"/>
        <w:jc w:val="both"/>
        <w:rPr>
          <w:rFonts w:ascii="Times New Roman" w:hAnsi="Times New Roman" w:cs="Times New Roman"/>
          <w:sz w:val="22"/>
          <w:szCs w:val="22"/>
        </w:rPr>
      </w:pPr>
      <w:r>
        <w:rPr>
          <w:rFonts w:cs="Times New Roman" w:ascii="Times New Roman" w:hAnsi="Times New Roman"/>
          <w:sz w:val="22"/>
          <w:szCs w:val="22"/>
        </w:rPr>
      </w:r>
    </w:p>
    <w:tbl>
      <w:tblPr>
        <w:tblW w:w="9757" w:type="dxa"/>
        <w:jc w:val="left"/>
        <w:tblInd w:w="-118" w:type="dxa"/>
        <w:tblLayout w:type="fixed"/>
        <w:tblCellMar>
          <w:top w:w="0" w:type="dxa"/>
          <w:left w:w="83" w:type="dxa"/>
          <w:bottom w:w="0" w:type="dxa"/>
          <w:right w:w="108" w:type="dxa"/>
        </w:tblCellMar>
        <w:tblLook w:val="0000" w:noHBand="0" w:noVBand="0" w:firstColumn="0" w:lastRow="0" w:lastColumn="0" w:firstRow="0"/>
      </w:tblPr>
      <w:tblGrid>
        <w:gridCol w:w="7508"/>
        <w:gridCol w:w="2248"/>
      </w:tblGrid>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Група платників, категорія/класифікація</w:t>
              <w:br/>
              <w:t>будівель та споруд</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Розмір пільги</w:t>
              <w:br/>
              <w:t>(відсотків суми податкового зобов’язання за рік)</w:t>
            </w:r>
          </w:p>
        </w:tc>
      </w:tr>
      <w:tr>
        <w:trPr>
          <w:trHeight w:val="785" w:hRule="atLeast"/>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комунальні підприємства, у яких у господарському віданні або оперативному управлінні перебувають об’єкти житлової та нежитлової нерухомості, які є власністю Покровської міської територіальної громади Дніпропетровської області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cs="Times New Roman" w:ascii="Times New Roman" w:hAnsi="Times New Roman"/>
                <w:sz w:val="22"/>
                <w:szCs w:val="22"/>
                <w:shd w:fill="auto" w:val="clear"/>
              </w:rPr>
              <w:t>фізичні особи, у власності яких перебувають господарські (присадибні) будівлі – допоміжні (нежитлові приміщення), до яких належать сараї, хліви, гаражі, літні кухні, вбиральні, погреби, навіси, котельні, бойлерні.</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Якщо у власності фізичної особи є декілька будинків</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та, відповідно, прибудинкових територій, така пільга</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застосовується лише для обʼєктів нежитлової нерухомості,</w:t>
            </w:r>
          </w:p>
          <w:p>
            <w:pPr>
              <w:pStyle w:val="Style24"/>
              <w:widowControl w:val="false"/>
              <w:spacing w:lineRule="auto" w:line="216" w:before="0" w:after="0"/>
              <w:ind w:left="0" w:right="0" w:firstLine="28"/>
              <w:jc w:val="left"/>
              <w:rPr>
                <w:sz w:val="22"/>
                <w:szCs w:val="22"/>
                <w:shd w:fill="auto" w:val="clear"/>
              </w:rPr>
            </w:pPr>
            <w:r>
              <w:rPr>
                <w:rFonts w:cs="Times New Roman" w:ascii="Times New Roman" w:hAnsi="Times New Roman"/>
                <w:sz w:val="22"/>
                <w:szCs w:val="22"/>
                <w:shd w:fill="auto" w:val="clear"/>
              </w:rPr>
              <w:t>які розміщені на одній прибудинковій території, що</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знаходиться у власності фізичної особи.</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малозабезпечені та багатодітні сім’ї за один об’єкт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інваліди 1 групи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фізичні особи</w:t>
            </w:r>
            <w:r>
              <w:rPr>
                <w:rFonts w:cs="Times New Roman" w:ascii="Times New Roman" w:hAnsi="Times New Roman"/>
                <w:sz w:val="22"/>
                <w:szCs w:val="22"/>
                <w:shd w:fill="auto" w:val="clear"/>
              </w:rPr>
              <w:t xml:space="preserve"> - отримувачі житлових субсидій для відшкодування витрат на оплату житлово-комунальних послуг, придбання скрапленого газу, твердого та рідкого пічного побутового палива, яким нараховується субсидія протягом року,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батьки та сім'ї загиблих воїнів – інтернаціоналістів; батьки та сім'ї військовослужбовців, загиблих при проходженні військової служби; учасники АТО-ООС, які перебувають на обліку в Управлінні праці та соціального захисту населення</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bl>
    <w:p>
      <w:pPr>
        <w:pStyle w:val="Style24"/>
        <w:jc w:val="both"/>
        <w:rPr>
          <w:sz w:val="22"/>
          <w:szCs w:val="22"/>
        </w:rPr>
      </w:pPr>
      <w:r>
        <w:rPr>
          <w:rFonts w:cs="Times New Roman" w:ascii="Times New Roman" w:hAnsi="Times New Roman"/>
          <w:sz w:val="22"/>
          <w:szCs w:val="22"/>
          <w:shd w:fill="auto" w:val="clear"/>
          <w:vertAlign w:val="superscript"/>
        </w:rPr>
        <w:t xml:space="preserve">1 </w:t>
      </w:r>
      <w:r>
        <w:rPr>
          <w:rFonts w:cs="Times New Roman" w:ascii="Times New Roman" w:hAnsi="Times New Roman"/>
          <w:sz w:val="22"/>
          <w:szCs w:val="22"/>
          <w:shd w:fill="auto" w:val="clear"/>
        </w:rPr>
        <w:t>Пільги визначаються з урахуванням норм підпункту 12.3.7 пункту 12.3 статті</w:t>
      </w:r>
      <w:r>
        <w:rPr>
          <w:rFonts w:cs="Times New Roman" w:ascii="Times New Roman" w:hAnsi="Times New Roman"/>
          <w:sz w:val="22"/>
          <w:szCs w:val="22"/>
          <w:shd w:fill="auto" w:val="clear"/>
          <w:lang w:val="ru-RU"/>
        </w:rPr>
        <w:t xml:space="preserve"> </w:t>
      </w:r>
      <w:r>
        <w:rPr>
          <w:rFonts w:cs="Times New Roman" w:ascii="Times New Roman" w:hAnsi="Times New Roman"/>
          <w:sz w:val="22"/>
          <w:szCs w:val="22"/>
          <w:shd w:fill="auto" w:val="clear"/>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pPr>
        <w:pStyle w:val="Normal"/>
        <w:tabs>
          <w:tab w:val="clear" w:pos="706"/>
          <w:tab w:val="left" w:pos="6165" w:leader="none"/>
        </w:tabs>
        <w:spacing w:lineRule="auto" w:line="240" w:before="0" w:after="0"/>
        <w:jc w:val="both"/>
        <w:rPr>
          <w:rFonts w:eastAsia="Calibri" w:cs="Times New Roman"/>
          <w:b w:val="false"/>
          <w:b w:val="false"/>
          <w:bCs w:val="false"/>
          <w:color w:val="000000"/>
          <w:kern w:val="0"/>
          <w:position w:val="0"/>
          <w:sz w:val="22"/>
          <w:sz w:val="22"/>
          <w:vertAlign w:val="baseline"/>
          <w:lang w:val="uk-UA" w:eastAsia="zh-CN" w:bidi="ar-SA"/>
        </w:rPr>
      </w:pPr>
      <w:r>
        <w:rPr>
          <w:rFonts w:eastAsia="Calibri" w:cs="Times New Roman"/>
          <w:b w:val="false"/>
          <w:bCs w:val="false"/>
          <w:color w:val="000000"/>
          <w:kern w:val="0"/>
          <w:position w:val="0"/>
          <w:sz w:val="22"/>
          <w:sz w:val="22"/>
          <w:vertAlign w:val="baseline"/>
          <w:lang w:val="uk-UA" w:eastAsia="zh-CN" w:bidi="ar-SA"/>
        </w:rPr>
      </w:r>
    </w:p>
    <w:p>
      <w:pPr>
        <w:pStyle w:val="Normal"/>
        <w:tabs>
          <w:tab w:val="clear" w:pos="706"/>
          <w:tab w:val="left" w:pos="6165" w:leader="none"/>
        </w:tabs>
        <w:spacing w:lineRule="auto" w:line="240" w:before="0" w:after="200"/>
        <w:jc w:val="both"/>
        <w:rPr>
          <w:sz w:val="22"/>
          <w:szCs w:val="22"/>
        </w:rPr>
      </w:pPr>
      <w:r>
        <w:rPr>
          <w:rFonts w:eastAsia="Calibri" w:cs="Times New Roman"/>
          <w:b w:val="false"/>
          <w:bCs w:val="false"/>
          <w:color w:val="000000"/>
          <w:kern w:val="0"/>
          <w:position w:val="0"/>
          <w:sz w:val="22"/>
          <w:sz w:val="22"/>
          <w:szCs w:val="22"/>
          <w:vertAlign w:val="baseline"/>
          <w:lang w:val="uk-UA" w:eastAsia="zh-CN" w:bidi="ar-SA"/>
        </w:rPr>
        <w:t>Начальник відділу економіки</w:t>
        <w:tab/>
        <w:tab/>
        <w:tab/>
        <w:tab/>
        <w:t xml:space="preserve">Т.В. </w:t>
      </w:r>
      <w:r>
        <w:rPr>
          <w:rFonts w:eastAsia="Calibri" w:cs="Times New Roman"/>
          <w:b w:val="false"/>
          <w:bCs w:val="false"/>
          <w:color w:val="00000A"/>
          <w:kern w:val="0"/>
          <w:position w:val="0"/>
          <w:sz w:val="22"/>
          <w:sz w:val="22"/>
          <w:szCs w:val="22"/>
          <w:vertAlign w:val="baseline"/>
          <w:lang w:val="uk-UA" w:eastAsia="zh-CN" w:bidi="ar-SA"/>
        </w:rPr>
        <w:t>Сідашова</w:t>
      </w:r>
    </w:p>
    <w:p>
      <w:pPr>
        <w:pStyle w:val="Normal"/>
        <w:tabs>
          <w:tab w:val="clear" w:pos="706"/>
          <w:tab w:val="left" w:pos="6165" w:leader="none"/>
        </w:tabs>
        <w:spacing w:lineRule="auto" w:line="240" w:before="0" w:after="200"/>
        <w:jc w:val="both"/>
        <w:rPr>
          <w:sz w:val="22"/>
          <w:szCs w:val="22"/>
        </w:rPr>
      </w:pPr>
      <w:r>
        <w:rPr>
          <w:sz w:val="22"/>
          <w:szCs w:val="22"/>
        </w:rPr>
      </w:r>
    </w:p>
    <w:p>
      <w:pPr>
        <w:pStyle w:val="Normal"/>
        <w:tabs>
          <w:tab w:val="clear" w:pos="706"/>
          <w:tab w:val="left" w:pos="6165" w:leader="none"/>
        </w:tabs>
        <w:spacing w:lineRule="auto" w:line="240" w:before="0" w:after="200"/>
        <w:jc w:val="both"/>
        <w:rPr>
          <w:sz w:val="24"/>
          <w:szCs w:val="24"/>
          <w:shd w:fill="FFFF00" w:val="clear"/>
        </w:rPr>
      </w:pPr>
      <w:r>
        <w:rPr/>
      </w:r>
    </w:p>
    <w:sectPr>
      <w:headerReference w:type="default" r:id="rId4"/>
      <w:type w:val="nextPage"/>
      <w:pgSz w:w="11906" w:h="16781"/>
      <w:pgMar w:left="1680" w:right="567" w:header="0" w:top="810" w:footer="0" w:bottom="77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ntiqu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bidi w:val="0"/>
      <w:spacing w:before="0" w:after="0"/>
      <w:jc w:val="center"/>
      <w:rPr>
        <w:b/>
        <w:b/>
        <w:bCs/>
        <w:sz w:val="28"/>
        <w:szCs w:val="28"/>
        <w:lang w:val="uk-UA"/>
      </w:rPr>
    </w:pPr>
    <w:r>
      <w:rPr>
        <w:b/>
        <w:bCs/>
        <w:sz w:val="28"/>
        <w:szCs w:val="28"/>
        <w:lang w:val="uk-U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68"/>
        </w:tabs>
        <w:ind w:left="1068" w:hanging="360"/>
      </w:pPr>
      <w:rPr>
        <w:sz w:val="26"/>
        <w:szCs w:val="28"/>
        <w:rFonts w:cs="Times New Roman"/>
        <w:lang w:val="uk-UA" w:bidi="ar-SA"/>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character" w:styleId="WW8Num2z0">
    <w:name w:val="WW8Num2z0"/>
    <w:qFormat/>
    <w:rPr>
      <w:rFonts w:cs="Times New Roman"/>
      <w:sz w:val="28"/>
      <w:szCs w:val="28"/>
      <w:lang w:val="uk-UA"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4">
    <w:name w:val="Заголовок"/>
    <w:basedOn w:val="Normal"/>
    <w:next w:val="Style15"/>
    <w:qFormat/>
    <w:pPr>
      <w:keepNext w:val="true"/>
      <w:spacing w:before="240" w:after="120"/>
    </w:pPr>
    <w:rPr>
      <w:rFonts w:ascii="Arial" w:hAnsi="Arial" w:eastAsia="Andale Sans UI;Arial Unicode MS"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20">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1">
    <w:name w:val="Верхний и нижний колонтитулы"/>
    <w:basedOn w:val="Normal"/>
    <w:qFormat/>
    <w:pPr/>
    <w:rPr/>
  </w:style>
  <w:style w:type="paragraph" w:styleId="Style22">
    <w:name w:val="Header"/>
    <w:basedOn w:val="Normal"/>
    <w:pPr>
      <w:suppressLineNumbers/>
      <w:tabs>
        <w:tab w:val="clear" w:pos="706"/>
        <w:tab w:val="center" w:pos="4819" w:leader="none"/>
        <w:tab w:val="right" w:pos="9638" w:leader="none"/>
      </w:tabs>
    </w:pPr>
    <w:rPr/>
  </w:style>
  <w:style w:type="paragraph" w:styleId="StyleZakonu">
    <w:name w:val="StyleZakonu"/>
    <w:basedOn w:val="Normal"/>
    <w:qFormat/>
    <w:pPr>
      <w:spacing w:lineRule="exact" w:line="220" w:before="0" w:after="60"/>
      <w:ind w:left="0" w:right="0" w:firstLine="284"/>
      <w:jc w:val="both"/>
    </w:pPr>
    <w:rPr>
      <w:rFonts w:ascii="Times New Roman" w:hAnsi="Times New Roman" w:eastAsia="Times New Roman" w:cs="Times New Roman"/>
      <w:sz w:val="20"/>
      <w:szCs w:val="20"/>
    </w:rPr>
  </w:style>
  <w:style w:type="paragraph" w:styleId="Style23">
    <w:name w:val="Назва документа"/>
    <w:basedOn w:val="Normal"/>
    <w:qFormat/>
    <w:pPr>
      <w:keepNext w:val="true"/>
      <w:keepLines/>
      <w:spacing w:lineRule="auto" w:line="240" w:before="240" w:after="240"/>
      <w:jc w:val="center"/>
    </w:pPr>
    <w:rPr>
      <w:rFonts w:ascii="Antiqua" w:hAnsi="Antiqua" w:eastAsia="Times New Roman" w:cs="Antiqua"/>
      <w:b/>
      <w:sz w:val="26"/>
      <w:szCs w:val="20"/>
    </w:rPr>
  </w:style>
  <w:style w:type="paragraph" w:styleId="Style24">
    <w:name w:val="Нормальний текст"/>
    <w:basedOn w:val="Normal"/>
    <w:qFormat/>
    <w:pPr>
      <w:spacing w:lineRule="auto" w:line="240" w:before="120" w:after="0"/>
      <w:ind w:left="0" w:right="0" w:firstLine="567"/>
    </w:pPr>
    <w:rPr>
      <w:rFonts w:ascii="Antiqua" w:hAnsi="Antiqua" w:eastAsia="Times New Roman" w:cs="Antiqua"/>
      <w:sz w:val="26"/>
      <w:szCs w:val="20"/>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178</TotalTime>
  <Application>LibreOffice/7.0.1.2$Linux_X86_64 LibreOffice_project/7cbcfc562f6eb6708b5ff7d7397325de9e764452</Application>
  <Pages>12</Pages>
  <Words>3048</Words>
  <Characters>18282</Characters>
  <CharactersWithSpaces>20707</CharactersWithSpaces>
  <Paragraphs>1189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2021-04-30T13:41:54Z</cp:lastPrinted>
  <dcterms:modified xsi:type="dcterms:W3CDTF">2021-05-07T15:24:35Z</dcterms:modified>
  <cp:revision>59</cp:revision>
  <dc:subject/>
  <dc:title/>
</cp:coreProperties>
</file>