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2"/>
          <w:szCs w:val="22"/>
        </w:rPr>
      </w:pPr>
      <w:r>
        <w:rPr>
          <w:b/>
          <w:color w:val="000000"/>
          <w:sz w:val="22"/>
          <w:szCs w:val="22"/>
        </w:rPr>
        <w:t xml:space="preserve">Інформаційне повідомлення </w:t>
      </w:r>
    </w:p>
    <w:p>
      <w:pPr>
        <w:pStyle w:val="Normal"/>
        <w:jc w:val="center"/>
        <w:rPr>
          <w:b/>
          <w:b/>
          <w:color w:val="000000"/>
          <w:sz w:val="22"/>
          <w:szCs w:val="22"/>
        </w:rPr>
      </w:pPr>
      <w:r>
        <w:rPr>
          <w:b/>
          <w:color w:val="000000"/>
          <w:sz w:val="22"/>
          <w:szCs w:val="22"/>
        </w:rPr>
        <w:t xml:space="preserve">виконавчого комітету Покровської міської ради Дніпропетровської області </w:t>
      </w:r>
    </w:p>
    <w:p>
      <w:pPr>
        <w:pStyle w:val="Normal"/>
        <w:jc w:val="center"/>
        <w:rPr>
          <w:sz w:val="22"/>
          <w:szCs w:val="22"/>
        </w:rPr>
      </w:pPr>
      <w:r>
        <w:rPr>
          <w:b/>
          <w:color w:val="000000"/>
          <w:sz w:val="22"/>
          <w:szCs w:val="22"/>
        </w:rPr>
        <w:t xml:space="preserve">про приватизацію об’єкта малої приватизації – </w:t>
      </w:r>
    </w:p>
    <w:p>
      <w:pPr>
        <w:pStyle w:val="Normal"/>
        <w:jc w:val="center"/>
        <w:rPr/>
      </w:pPr>
      <w:r>
        <w:rPr>
          <w:b/>
          <w:color w:val="000000"/>
          <w:sz w:val="22"/>
          <w:szCs w:val="22"/>
        </w:rPr>
        <w:t>“</w:t>
      </w:r>
      <w:r>
        <w:rPr>
          <w:b/>
          <w:color w:val="000000"/>
          <w:sz w:val="22"/>
          <w:szCs w:val="22"/>
        </w:rPr>
        <w:t xml:space="preserve">Будівля (колишній медвитверезник, інвентарний номер 10310041), </w:t>
      </w:r>
    </w:p>
    <w:p>
      <w:pPr>
        <w:pStyle w:val="Normal"/>
        <w:jc w:val="center"/>
        <w:rPr/>
      </w:pPr>
      <w:r>
        <w:rPr>
          <w:b/>
          <w:color w:val="000000"/>
          <w:sz w:val="22"/>
          <w:szCs w:val="22"/>
        </w:rPr>
        <w:t xml:space="preserve">за адресою: Дніпропетровська область, м.Покров, вул. Гагаріна, 18” </w:t>
      </w:r>
    </w:p>
    <w:p>
      <w:pPr>
        <w:pStyle w:val="Normal"/>
        <w:jc w:val="center"/>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1. Інформація про об’єкт приватизації:</w:t>
      </w:r>
    </w:p>
    <w:p>
      <w:pPr>
        <w:pStyle w:val="Normal"/>
        <w:jc w:val="both"/>
        <w:rPr/>
      </w:pPr>
      <w:r>
        <w:rPr>
          <w:b/>
          <w:color w:val="000000"/>
          <w:sz w:val="22"/>
          <w:szCs w:val="22"/>
        </w:rPr>
        <w:t xml:space="preserve">Найменування об’єкта приватизації: “Будівля (колишній медвитверезник, інвентарний номер 10310041, за адресою: Дніпропетровська область, м.Покров, вул. Гагаріна, 18”  </w:t>
      </w:r>
      <w:r>
        <w:rPr>
          <w:b w:val="false"/>
          <w:bCs w:val="false"/>
          <w:color w:val="000000"/>
          <w:sz w:val="22"/>
          <w:szCs w:val="22"/>
        </w:rPr>
        <w:t xml:space="preserve"> </w:t>
      </w:r>
      <w:r>
        <w:rPr>
          <w:color w:val="000000"/>
          <w:sz w:val="22"/>
          <w:szCs w:val="22"/>
        </w:rPr>
        <w:t>(далі – об’єкт приватизації).</w:t>
      </w:r>
    </w:p>
    <w:p>
      <w:pPr>
        <w:pStyle w:val="Normal"/>
        <w:jc w:val="both"/>
        <w:rPr>
          <w:color w:val="000000"/>
          <w:sz w:val="22"/>
          <w:szCs w:val="22"/>
        </w:rPr>
      </w:pPr>
      <w:r>
        <w:rPr>
          <w:color w:val="000000"/>
          <w:sz w:val="22"/>
          <w:szCs w:val="22"/>
        </w:rPr>
      </w:r>
    </w:p>
    <w:p>
      <w:pPr>
        <w:pStyle w:val="Normal"/>
        <w:shd w:val="clear" w:color="auto" w:fill="FFFFFF"/>
        <w:jc w:val="both"/>
        <w:rPr/>
      </w:pPr>
      <w:r>
        <w:rPr>
          <w:b/>
          <w:color w:val="000000"/>
          <w:sz w:val="22"/>
          <w:szCs w:val="22"/>
        </w:rPr>
        <w:t xml:space="preserve">Місцезнаходження об’єкта: </w:t>
      </w:r>
      <w:r>
        <w:rPr>
          <w:color w:val="000000"/>
          <w:sz w:val="22"/>
          <w:szCs w:val="22"/>
        </w:rPr>
        <w:t>Дніпропетровська</w:t>
      </w:r>
      <w:r>
        <w:rPr>
          <w:b/>
          <w:color w:val="000000"/>
          <w:sz w:val="22"/>
          <w:szCs w:val="22"/>
        </w:rPr>
        <w:t xml:space="preserve"> </w:t>
      </w:r>
      <w:r>
        <w:rPr>
          <w:color w:val="000000"/>
          <w:spacing w:val="-1"/>
          <w:sz w:val="22"/>
          <w:szCs w:val="22"/>
        </w:rPr>
        <w:t>область, місто Покров, вулиця Гагаріна, будинок 18.</w:t>
      </w:r>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 xml:space="preserve">Відомості про об’єкт приватизації: </w:t>
      </w:r>
    </w:p>
    <w:p>
      <w:pPr>
        <w:pStyle w:val="Normal"/>
        <w:jc w:val="both"/>
        <w:rPr/>
      </w:pPr>
      <w:r>
        <w:rPr>
          <w:b w:val="false"/>
          <w:bCs w:val="false"/>
          <w:color w:val="000000"/>
          <w:sz w:val="22"/>
          <w:szCs w:val="22"/>
        </w:rPr>
        <w:t>Об'єкт приватизації 1962</w:t>
      </w:r>
      <w:r>
        <w:rPr>
          <w:b w:val="false"/>
          <w:bCs w:val="false"/>
          <w:color w:val="000000"/>
          <w:spacing w:val="-1"/>
          <w:sz w:val="22"/>
          <w:szCs w:val="22"/>
        </w:rPr>
        <w:t xml:space="preserve"> року побудови.</w:t>
      </w:r>
      <w:r>
        <w:rPr>
          <w:b w:val="false"/>
          <w:bCs w:val="false"/>
          <w:color w:val="000000"/>
          <w:sz w:val="22"/>
          <w:szCs w:val="22"/>
        </w:rPr>
        <w:t xml:space="preserve"> Загальна площа 155,8 м</w:t>
      </w:r>
      <w:r>
        <w:rPr>
          <w:b w:val="false"/>
          <w:bCs w:val="false"/>
          <w:color w:val="000000"/>
          <w:sz w:val="22"/>
          <w:szCs w:val="22"/>
          <w:vertAlign w:val="superscript"/>
        </w:rPr>
        <w:t>2</w:t>
      </w:r>
      <w:r>
        <w:rPr>
          <w:b w:val="false"/>
          <w:bCs w:val="false"/>
          <w:color w:val="000000"/>
          <w:position w:val="0"/>
          <w:sz w:val="22"/>
          <w:sz w:val="22"/>
          <w:szCs w:val="22"/>
          <w:vertAlign w:val="baseline"/>
        </w:rPr>
        <w:t>.</w:t>
      </w:r>
      <w:r>
        <w:rPr>
          <w:b w:val="false"/>
          <w:bCs w:val="false"/>
          <w:color w:val="000000"/>
          <w:sz w:val="22"/>
          <w:szCs w:val="22"/>
        </w:rPr>
        <w:t xml:space="preserve"> Конструктивні елементи: фундамент – цегляний, стіни – цегляні, покрівля – м’яка, підлога – бетонна. Об'єкт приватизації не експлуатується близько 15 років, розташований в середній частині м.Покров. Район розташування характеризується в основному промисловою забудовою. Транспортна доступність – хороша.</w:t>
      </w:r>
    </w:p>
    <w:p>
      <w:pPr>
        <w:pStyle w:val="Normal"/>
        <w:jc w:val="both"/>
        <w:rPr>
          <w:b/>
          <w:b/>
          <w:bCs/>
          <w:color w:val="000000"/>
          <w:sz w:val="22"/>
          <w:szCs w:val="22"/>
        </w:rPr>
      </w:pPr>
      <w:r>
        <w:rPr>
          <w:b/>
          <w:bCs/>
          <w:color w:val="000000"/>
          <w:sz w:val="22"/>
          <w:szCs w:val="22"/>
        </w:rPr>
      </w:r>
    </w:p>
    <w:p>
      <w:pPr>
        <w:pStyle w:val="Normal"/>
        <w:jc w:val="both"/>
        <w:rPr/>
      </w:pPr>
      <w:r>
        <w:rPr>
          <w:b/>
          <w:bCs/>
          <w:color w:val="000000"/>
          <w:sz w:val="22"/>
          <w:szCs w:val="22"/>
        </w:rPr>
        <w:t xml:space="preserve">Відомості про земельну ділянку на якій розташований об’єкт приватизації: </w:t>
      </w:r>
      <w:r>
        <w:rPr>
          <w:b w:val="false"/>
          <w:bCs w:val="false"/>
          <w:color w:val="000000"/>
          <w:sz w:val="22"/>
          <w:szCs w:val="22"/>
        </w:rPr>
        <w:t xml:space="preserve">об’єкт приватизації розташований на землі комунальної власності: кадастровий номер 1212100000:01:016:0047, дата державної реєстрації – 27.12.2019р., цільове призначення – для будівництва та обслуговування будівель комунального обслуговування, площа – 0,0299 га. </w:t>
      </w:r>
    </w:p>
    <w:p>
      <w:pPr>
        <w:pStyle w:val="Normal"/>
        <w:jc w:val="both"/>
        <w:rPr>
          <w:b/>
          <w:b/>
          <w:bCs/>
          <w:color w:val="000000"/>
          <w:sz w:val="22"/>
          <w:szCs w:val="22"/>
        </w:rPr>
      </w:pPr>
      <w:r>
        <w:rPr>
          <w:b/>
          <w:bCs/>
          <w:color w:val="000000"/>
          <w:sz w:val="22"/>
          <w:szCs w:val="22"/>
        </w:rPr>
      </w:r>
    </w:p>
    <w:p>
      <w:pPr>
        <w:pStyle w:val="Normal"/>
        <w:jc w:val="both"/>
        <w:rPr/>
      </w:pPr>
      <w:bookmarkStart w:id="0" w:name="__DdeLink__1048_225032694"/>
      <w:bookmarkEnd w:id="0"/>
      <w:r>
        <w:rPr>
          <w:b/>
          <w:bCs/>
          <w:color w:val="000000"/>
          <w:sz w:val="22"/>
          <w:szCs w:val="22"/>
        </w:rPr>
        <w:t>Інформація про договори оренди об’єкта або його частини:</w:t>
      </w:r>
      <w:r>
        <w:rPr>
          <w:color w:val="000000"/>
          <w:sz w:val="22"/>
          <w:szCs w:val="22"/>
        </w:rPr>
        <w:t xml:space="preserve"> договори оренди відсутні.</w:t>
      </w:r>
    </w:p>
    <w:p>
      <w:pPr>
        <w:pStyle w:val="Normal"/>
        <w:jc w:val="both"/>
        <w:rPr>
          <w:b/>
          <w:b/>
          <w:bCs/>
          <w:color w:val="000000"/>
          <w:sz w:val="22"/>
          <w:szCs w:val="22"/>
        </w:rPr>
      </w:pPr>
      <w:r>
        <w:rPr>
          <w:b/>
          <w:bCs/>
          <w:color w:val="000000"/>
          <w:sz w:val="22"/>
          <w:szCs w:val="22"/>
        </w:rPr>
      </w:r>
    </w:p>
    <w:p>
      <w:pPr>
        <w:pStyle w:val="Normal"/>
        <w:jc w:val="both"/>
        <w:rPr/>
      </w:pPr>
      <w:r>
        <w:rPr>
          <w:b/>
          <w:bCs/>
          <w:color w:val="000000"/>
          <w:sz w:val="22"/>
          <w:szCs w:val="22"/>
        </w:rPr>
        <w:t>Інформація про балансоутримувача (найменування, його місцезнаходження і контактні дані):</w:t>
      </w:r>
      <w:r>
        <w:rPr>
          <w:color w:val="000000"/>
          <w:sz w:val="22"/>
          <w:szCs w:val="22"/>
        </w:rPr>
        <w:t xml:space="preserve"> КНП "Центр первинної медико-санітарної допомоги Покровської ради Дніпропетровської області", код за ЄДРПОУ 37691403; 53300, Дніпропетровська область, місто Покров, вул. Медична, 19; тел. +38056676-15-68, e-mail: </w:t>
      </w:r>
      <w:r>
        <w:rPr>
          <w:rStyle w:val="Style8"/>
          <w:color w:val="000000"/>
          <w:sz w:val="22"/>
          <w:szCs w:val="22"/>
        </w:rPr>
        <w:t>cpmsdo@pokrov-mr.gov.ua</w:t>
      </w:r>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2. Інформація про аукціон:</w:t>
      </w:r>
    </w:p>
    <w:p>
      <w:pPr>
        <w:pStyle w:val="Normal"/>
        <w:jc w:val="both"/>
        <w:rPr>
          <w:sz w:val="22"/>
          <w:szCs w:val="22"/>
        </w:rPr>
      </w:pPr>
      <w:r>
        <w:rPr>
          <w:b/>
          <w:color w:val="000000"/>
          <w:sz w:val="22"/>
          <w:szCs w:val="22"/>
        </w:rPr>
        <w:t xml:space="preserve">Спосіб проведення аукціону: </w:t>
      </w:r>
      <w:r>
        <w:rPr>
          <w:color w:val="000000"/>
          <w:sz w:val="22"/>
          <w:szCs w:val="22"/>
        </w:rPr>
        <w:t xml:space="preserve">аукціон з умовами. </w:t>
      </w:r>
    </w:p>
    <w:p>
      <w:pPr>
        <w:pStyle w:val="Normal"/>
        <w:jc w:val="both"/>
        <w:rPr/>
      </w:pPr>
      <w:r>
        <w:rPr>
          <w:b/>
          <w:color w:val="000000"/>
          <w:sz w:val="22"/>
          <w:szCs w:val="22"/>
        </w:rPr>
        <w:t>Дата та час проведення аукціону:</w:t>
      </w:r>
      <w:r>
        <w:rPr>
          <w:color w:val="000000"/>
          <w:sz w:val="22"/>
          <w:szCs w:val="22"/>
        </w:rPr>
        <w:t xml:space="preserve"> </w:t>
      </w:r>
      <w:r>
        <w:rPr>
          <w:b/>
          <w:bCs/>
          <w:color w:val="000000"/>
          <w:sz w:val="22"/>
          <w:szCs w:val="22"/>
        </w:rPr>
        <w:t>11</w:t>
      </w:r>
      <w:r>
        <w:rPr>
          <w:b/>
          <w:color w:val="000000"/>
          <w:sz w:val="22"/>
          <w:szCs w:val="22"/>
        </w:rPr>
        <w:t xml:space="preserve"> лютого</w:t>
      </w:r>
      <w:r>
        <w:rPr>
          <w:b/>
          <w:sz w:val="22"/>
          <w:szCs w:val="22"/>
        </w:rPr>
        <w:t xml:space="preserve"> 2020 року</w:t>
      </w:r>
      <w:r>
        <w:rPr>
          <w:sz w:val="22"/>
          <w:szCs w:val="22"/>
        </w:rPr>
        <w:t xml:space="preserve">, час проведення визначається електронною торговою системою автоматично.           </w:t>
      </w:r>
    </w:p>
    <w:p>
      <w:pPr>
        <w:pStyle w:val="Normal"/>
        <w:jc w:val="both"/>
        <w:rPr>
          <w:sz w:val="22"/>
          <w:szCs w:val="22"/>
        </w:rPr>
      </w:pPr>
      <w:r>
        <w:rPr>
          <w:sz w:val="22"/>
          <w:szCs w:val="22"/>
        </w:rPr>
      </w:r>
    </w:p>
    <w:p>
      <w:pPr>
        <w:pStyle w:val="Normal"/>
        <w:jc w:val="both"/>
        <w:rPr>
          <w:color w:val="000000"/>
          <w:sz w:val="22"/>
          <w:szCs w:val="22"/>
        </w:rPr>
      </w:pPr>
      <w:r>
        <w:rPr>
          <w:color w:val="000000"/>
          <w:sz w:val="22"/>
          <w:szCs w:val="22"/>
        </w:rPr>
        <w:t xml:space="preserve">Аукціон проводиться відповідно до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 432 (із змінами, внесеними згідно з постановою КМУ №579 від 18.07.2018). </w:t>
      </w:r>
    </w:p>
    <w:p>
      <w:pPr>
        <w:pStyle w:val="Normal"/>
        <w:jc w:val="both"/>
        <w:rPr>
          <w:color w:val="000000"/>
          <w:sz w:val="22"/>
          <w:szCs w:val="22"/>
        </w:rPr>
      </w:pPr>
      <w:r>
        <w:rPr>
          <w:color w:val="000000"/>
          <w:sz w:val="22"/>
          <w:szCs w:val="22"/>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Кінцевий строк подання заяви на участь в електронному аукціоні з умовами, аукціоні із зниженням стартової ціни</w:t>
      </w:r>
      <w:r>
        <w:rPr>
          <w:color w:val="000000"/>
          <w:sz w:val="22"/>
          <w:szCs w:val="22"/>
        </w:rPr>
        <w:t xml:space="preserve"> встановлюється електронною торговою системою (далі – ЕТС) для кожного електронного аукціону окремо в проміжку часу з 19 годин 30 хвилин  до 20 годин 30 хвилин дня, що передує дню проведення електронного аукціону.</w:t>
      </w:r>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 xml:space="preserve">Кінцевий строк подання заяви на участь в аукціоні за методом покрокового зниження ціни та подальшого подання цінових пропозицій </w:t>
      </w:r>
      <w:r>
        <w:rPr>
          <w:color w:val="000000"/>
          <w:sz w:val="22"/>
          <w:szCs w:val="22"/>
        </w:rPr>
        <w:t>встановлюється ЕТС для кожного електронного аукціону окремо в проміжку часу з 16-15 до 16-45 години дня проведення електронного аукціону.</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b/>
          <w:b/>
          <w:color w:val="000000"/>
          <w:sz w:val="22"/>
          <w:szCs w:val="22"/>
        </w:rPr>
      </w:pPr>
      <w:r>
        <w:rPr>
          <w:b/>
          <w:color w:val="000000"/>
          <w:sz w:val="22"/>
          <w:szCs w:val="22"/>
        </w:rPr>
        <w:t>3. Інформація про умови, на яких здійснюється приватизація об’єкта:</w:t>
      </w:r>
    </w:p>
    <w:p>
      <w:pPr>
        <w:pStyle w:val="Normal"/>
        <w:tabs>
          <w:tab w:val="clear" w:pos="720"/>
          <w:tab w:val="left" w:pos="0" w:leader="none"/>
        </w:tabs>
        <w:jc w:val="both"/>
        <w:rPr>
          <w:sz w:val="22"/>
          <w:szCs w:val="22"/>
        </w:rPr>
      </w:pPr>
      <w:r>
        <w:rPr>
          <w:color w:val="000000"/>
          <w:sz w:val="22"/>
          <w:szCs w:val="22"/>
        </w:rPr>
        <w:t>Приватизація об’єкта малої приватизації здійснюється відповідно до вимог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2018 року №432 із змінами.</w:t>
      </w:r>
    </w:p>
    <w:p>
      <w:pPr>
        <w:pStyle w:val="Normal"/>
        <w:tabs>
          <w:tab w:val="clear" w:pos="720"/>
          <w:tab w:val="left" w:pos="0" w:leader="none"/>
        </w:tabs>
        <w:jc w:val="both"/>
        <w:rPr>
          <w:color w:val="000000"/>
          <w:sz w:val="22"/>
          <w:szCs w:val="22"/>
        </w:rPr>
      </w:pPr>
      <w:r>
        <w:rPr>
          <w:color w:val="000000"/>
          <w:sz w:val="22"/>
          <w:szCs w:val="22"/>
        </w:rPr>
      </w:r>
    </w:p>
    <w:p>
      <w:pPr>
        <w:pStyle w:val="Normal"/>
        <w:tabs>
          <w:tab w:val="clear" w:pos="720"/>
          <w:tab w:val="left" w:pos="0" w:leader="none"/>
        </w:tabs>
        <w:jc w:val="both"/>
        <w:rPr>
          <w:color w:val="000000"/>
          <w:sz w:val="22"/>
          <w:szCs w:val="22"/>
        </w:rPr>
      </w:pPr>
      <w:r>
        <w:rPr>
          <w:color w:val="000000"/>
          <w:sz w:val="22"/>
          <w:szCs w:val="22"/>
        </w:rPr>
        <w:t>Покупець об’єкта приватизації має відповідати вимогам, передбаченим у статті 8 Закону України «Про приватизацію державного і комунального майна».</w:t>
      </w:r>
    </w:p>
    <w:p>
      <w:pPr>
        <w:pStyle w:val="Normal"/>
        <w:tabs>
          <w:tab w:val="clear" w:pos="720"/>
          <w:tab w:val="left" w:pos="0" w:leader="none"/>
        </w:tabs>
        <w:ind w:firstLine="567"/>
        <w:jc w:val="both"/>
        <w:rPr>
          <w:b/>
          <w:b/>
          <w:color w:val="000000"/>
          <w:sz w:val="22"/>
          <w:szCs w:val="22"/>
        </w:rPr>
      </w:pPr>
      <w:r>
        <w:rPr>
          <w:b/>
          <w:color w:val="000000"/>
          <w:sz w:val="22"/>
          <w:szCs w:val="22"/>
        </w:rPr>
      </w:r>
    </w:p>
    <w:p>
      <w:pPr>
        <w:pStyle w:val="Normal"/>
        <w:tabs>
          <w:tab w:val="clear" w:pos="720"/>
          <w:tab w:val="left" w:pos="0" w:leader="none"/>
        </w:tabs>
        <w:jc w:val="both"/>
        <w:rPr>
          <w:b/>
          <w:b/>
          <w:color w:val="000000"/>
          <w:sz w:val="22"/>
          <w:szCs w:val="22"/>
        </w:rPr>
      </w:pPr>
      <w:r>
        <w:rPr>
          <w:b/>
          <w:color w:val="000000"/>
          <w:sz w:val="22"/>
          <w:szCs w:val="22"/>
        </w:rPr>
        <w:t>Стартова ціна об’єкта приватизації для кожного із способів продажу:</w:t>
      </w:r>
    </w:p>
    <w:p>
      <w:pPr>
        <w:pStyle w:val="Normal"/>
        <w:tabs>
          <w:tab w:val="clear" w:pos="720"/>
          <w:tab w:val="left" w:pos="0" w:leader="none"/>
        </w:tabs>
        <w:jc w:val="both"/>
        <w:rPr/>
      </w:pPr>
      <w:r>
        <w:rPr>
          <w:b w:val="false"/>
          <w:bCs w:val="false"/>
          <w:color w:val="000000"/>
          <w:sz w:val="22"/>
          <w:szCs w:val="22"/>
        </w:rPr>
        <w:t>- аукціону з умовами – 157 358,00 грн.;</w:t>
        <w:tab/>
      </w:r>
    </w:p>
    <w:p>
      <w:pPr>
        <w:pStyle w:val="Normal"/>
        <w:tabs>
          <w:tab w:val="clear" w:pos="720"/>
          <w:tab w:val="left" w:pos="0" w:leader="none"/>
        </w:tabs>
        <w:jc w:val="both"/>
        <w:rPr/>
      </w:pPr>
      <w:r>
        <w:rPr>
          <w:b w:val="false"/>
          <w:bCs w:val="false"/>
          <w:color w:val="000000"/>
          <w:sz w:val="22"/>
          <w:szCs w:val="22"/>
        </w:rPr>
        <w:t>- аукціону із зниженням стартової ціни -  78 679,00 грн.;</w:t>
      </w:r>
    </w:p>
    <w:p>
      <w:pPr>
        <w:pStyle w:val="Normal"/>
        <w:tabs>
          <w:tab w:val="clear" w:pos="720"/>
          <w:tab w:val="left" w:pos="0" w:leader="none"/>
        </w:tabs>
        <w:jc w:val="both"/>
        <w:rPr/>
      </w:pPr>
      <w:r>
        <w:rPr>
          <w:b w:val="false"/>
          <w:bCs w:val="false"/>
          <w:color w:val="000000"/>
          <w:sz w:val="22"/>
          <w:szCs w:val="22"/>
        </w:rPr>
        <w:t>- аукціону за методом покрокового зниження стартової ціни та подальшого подання цінових пропозицій – 78 679,00 грн.</w:t>
      </w:r>
    </w:p>
    <w:p>
      <w:pPr>
        <w:pStyle w:val="Normal"/>
        <w:tabs>
          <w:tab w:val="clear" w:pos="720"/>
          <w:tab w:val="left" w:pos="0" w:leader="none"/>
        </w:tabs>
        <w:jc w:val="both"/>
        <w:rPr>
          <w:color w:val="000000"/>
          <w:sz w:val="22"/>
          <w:szCs w:val="22"/>
        </w:rPr>
      </w:pPr>
      <w:r>
        <w:rPr>
          <w:color w:val="000000"/>
          <w:sz w:val="22"/>
          <w:szCs w:val="22"/>
        </w:rPr>
      </w:r>
    </w:p>
    <w:p>
      <w:pPr>
        <w:pStyle w:val="Normal"/>
        <w:tabs>
          <w:tab w:val="clear" w:pos="720"/>
          <w:tab w:val="left" w:pos="0" w:leader="none"/>
        </w:tabs>
        <w:jc w:val="both"/>
        <w:rPr>
          <w:sz w:val="22"/>
          <w:szCs w:val="22"/>
        </w:rPr>
      </w:pPr>
      <w:r>
        <w:rPr>
          <w:b/>
          <w:color w:val="000000"/>
          <w:sz w:val="22"/>
          <w:szCs w:val="22"/>
        </w:rPr>
        <w:t>Розмір гарантійного внеску електронного аукціону для:</w:t>
      </w:r>
    </w:p>
    <w:p>
      <w:pPr>
        <w:pStyle w:val="Normal"/>
        <w:tabs>
          <w:tab w:val="clear" w:pos="720"/>
          <w:tab w:val="left" w:pos="0" w:leader="none"/>
        </w:tabs>
        <w:jc w:val="both"/>
        <w:rPr/>
      </w:pPr>
      <w:r>
        <w:rPr>
          <w:b w:val="false"/>
          <w:bCs w:val="false"/>
          <w:color w:val="000000"/>
          <w:sz w:val="22"/>
          <w:szCs w:val="22"/>
        </w:rPr>
        <w:t>- аукціону з умовами – 15 735,80  грн.;</w:t>
      </w:r>
    </w:p>
    <w:p>
      <w:pPr>
        <w:pStyle w:val="Normal"/>
        <w:tabs>
          <w:tab w:val="clear" w:pos="720"/>
          <w:tab w:val="left" w:pos="0" w:leader="none"/>
        </w:tabs>
        <w:jc w:val="both"/>
        <w:rPr/>
      </w:pPr>
      <w:r>
        <w:rPr>
          <w:b w:val="false"/>
          <w:bCs w:val="false"/>
          <w:color w:val="000000"/>
          <w:sz w:val="22"/>
          <w:szCs w:val="22"/>
        </w:rPr>
        <w:t>- аукціону із зниженням стартової ціни – 7 867,90 грн.;</w:t>
      </w:r>
    </w:p>
    <w:p>
      <w:pPr>
        <w:pStyle w:val="Normal"/>
        <w:tabs>
          <w:tab w:val="clear" w:pos="720"/>
          <w:tab w:val="left" w:pos="0" w:leader="none"/>
        </w:tabs>
        <w:jc w:val="both"/>
        <w:rPr/>
      </w:pPr>
      <w:r>
        <w:rPr>
          <w:b w:val="false"/>
          <w:bCs w:val="false"/>
          <w:color w:val="000000"/>
          <w:sz w:val="22"/>
          <w:szCs w:val="22"/>
        </w:rPr>
        <w:t>- аукціону за методом покрокового зниження стартової ціни та подальшого подання цінових пропозицій – 7 867,90  грн.</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pPr>
      <w:r>
        <w:rPr>
          <w:b/>
          <w:color w:val="000000"/>
          <w:sz w:val="22"/>
          <w:szCs w:val="22"/>
        </w:rPr>
        <w:t>Розмір реєстраційного  внеску становить 0,2 мінімальної заробітної плати станом на 1 січня поточного року</w:t>
      </w:r>
      <w:r>
        <w:rPr>
          <w:b/>
          <w:bCs/>
          <w:color w:val="000000"/>
          <w:sz w:val="22"/>
          <w:szCs w:val="22"/>
        </w:rPr>
        <w:t xml:space="preserve"> (944,60 грн.)</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b/>
          <w:b/>
          <w:color w:val="000000"/>
          <w:sz w:val="22"/>
          <w:szCs w:val="22"/>
        </w:rPr>
      </w:pPr>
      <w:r>
        <w:rPr>
          <w:b/>
          <w:color w:val="000000"/>
          <w:sz w:val="22"/>
          <w:szCs w:val="22"/>
        </w:rPr>
        <w:t>Додаткові умови продажу:</w:t>
      </w:r>
    </w:p>
    <w:p>
      <w:pPr>
        <w:pStyle w:val="Normal"/>
        <w:widowControl/>
        <w:numPr>
          <w:ilvl w:val="0"/>
          <w:numId w:val="1"/>
        </w:numPr>
        <w:suppressAutoHyphens w:val="true"/>
        <w:bidi w:val="0"/>
        <w:ind w:left="624" w:right="0" w:hanging="340"/>
        <w:jc w:val="both"/>
        <w:rPr/>
      </w:pPr>
      <w:r>
        <w:rPr>
          <w:sz w:val="22"/>
          <w:szCs w:val="22"/>
        </w:rPr>
        <w:t xml:space="preserve">усі пов’язані з нотаріальним посвідченням договору купівлі-продажу витрати покладаються на покупця; </w:t>
      </w:r>
    </w:p>
    <w:p>
      <w:pPr>
        <w:pStyle w:val="Normal"/>
        <w:widowControl/>
        <w:numPr>
          <w:ilvl w:val="0"/>
          <w:numId w:val="1"/>
        </w:numPr>
        <w:suppressAutoHyphens w:val="true"/>
        <w:bidi w:val="0"/>
        <w:ind w:left="624" w:right="0" w:hanging="340"/>
        <w:jc w:val="both"/>
        <w:rPr/>
      </w:pPr>
      <w:r>
        <w:rPr>
          <w:sz w:val="22"/>
          <w:szCs w:val="22"/>
        </w:rPr>
        <w:t xml:space="preserve">у відповідності до п. 23 Постанови №432 покупець зобов'язаний забезпечити відшкодування витрат органу приватизації на проведення оцінки Об'єкта приватизації в сумі 3300,00 грн. у місячний строк з дати нотаріального посвідчення договору купівлі-продажу; </w:t>
      </w:r>
    </w:p>
    <w:p>
      <w:pPr>
        <w:pStyle w:val="Normal"/>
        <w:widowControl/>
        <w:numPr>
          <w:ilvl w:val="0"/>
          <w:numId w:val="1"/>
        </w:numPr>
        <w:suppressAutoHyphens w:val="true"/>
        <w:bidi w:val="0"/>
        <w:ind w:left="624" w:right="0" w:hanging="340"/>
        <w:jc w:val="both"/>
        <w:rPr/>
      </w:pPr>
      <w:r>
        <w:rPr>
          <w:sz w:val="22"/>
          <w:szCs w:val="22"/>
        </w:rPr>
        <w:t>у відповідності до ст.24 Закону України «Про приватизацію державного і комунального майна» (далі – Закон) покупець, який підписав договір купівлі-продажу, сплачує на відповідний поточний рахунок органів приватизації ціну продажу об’єкта приватизації не пізніше ніж протягом 30 днів з дня підписання договору купівлі-продажу;</w:t>
      </w:r>
    </w:p>
    <w:p>
      <w:pPr>
        <w:pStyle w:val="Normal"/>
        <w:widowControl/>
        <w:numPr>
          <w:ilvl w:val="0"/>
          <w:numId w:val="1"/>
        </w:numPr>
        <w:suppressAutoHyphens w:val="true"/>
        <w:bidi w:val="0"/>
        <w:ind w:left="624" w:right="0" w:hanging="340"/>
        <w:jc w:val="both"/>
        <w:rPr/>
      </w:pPr>
      <w:r>
        <w:rPr>
          <w:sz w:val="22"/>
          <w:szCs w:val="22"/>
        </w:rPr>
        <w:t xml:space="preserve">переможець аукціону зобов’язаний протягом одного місяця після укладення договору купівлі-продажу об’єкта приватизації звернутись до виконавчого комітету Покровської міської ради в порядку, визначеному Земельним кодексом України, із заявою про оформлення права користування земельною ділянкою, що знаходиться за адресою: Дніпропетровська обл., м.Покров, вул.Гагаріна, 18; </w:t>
      </w:r>
    </w:p>
    <w:p>
      <w:pPr>
        <w:pStyle w:val="Normal"/>
        <w:widowControl/>
        <w:numPr>
          <w:ilvl w:val="0"/>
          <w:numId w:val="1"/>
        </w:numPr>
        <w:suppressAutoHyphens w:val="true"/>
        <w:bidi w:val="0"/>
        <w:ind w:left="624" w:right="0" w:hanging="340"/>
        <w:jc w:val="both"/>
        <w:rPr/>
      </w:pPr>
      <w:r>
        <w:rPr>
          <w:sz w:val="22"/>
          <w:szCs w:val="22"/>
        </w:rPr>
        <w:t xml:space="preserve">передача в заставу об'єкта приватизації в період чинності зобов’язань покупця, зазначених у договорі купівлі-продажу, у відповідності до ст.27 Закону здійснюється виключно за згодою органу приватизації; </w:t>
      </w:r>
    </w:p>
    <w:p>
      <w:pPr>
        <w:pStyle w:val="Normal"/>
        <w:widowControl/>
        <w:numPr>
          <w:ilvl w:val="0"/>
          <w:numId w:val="1"/>
        </w:numPr>
        <w:suppressAutoHyphens w:val="true"/>
        <w:bidi w:val="0"/>
        <w:ind w:left="624" w:right="0" w:hanging="340"/>
        <w:jc w:val="both"/>
        <w:rPr/>
      </w:pPr>
      <w:r>
        <w:rPr>
          <w:sz w:val="22"/>
          <w:szCs w:val="22"/>
        </w:rPr>
        <w:t xml:space="preserve">утримання в належному технічному стані конструктивних елементів об'єкту приватизації та прилеглої території, підтримання привабливого зовнішнього вигляду та благоустрою прилеглої території, забезпечення обмеження доступу на прилеглу до будівлі земельну ділянку до вводу в експлуатацію будівлі/приміщення, забезпечення дотримання санітарно-екологічних норм, протипожежних заходів та заходів цивільної безпеки відповідно до вимог Закону України «Про благоустрій населених пунктів» та «Правил благоустрою на території м. Покров», затверджених рішенням Покровської міської ради  від 26.11.2013р. № 26; </w:t>
      </w:r>
    </w:p>
    <w:p>
      <w:pPr>
        <w:pStyle w:val="Normal"/>
        <w:widowControl/>
        <w:numPr>
          <w:ilvl w:val="0"/>
          <w:numId w:val="1"/>
        </w:numPr>
        <w:suppressAutoHyphens w:val="true"/>
        <w:bidi w:val="0"/>
        <w:ind w:left="624" w:right="0" w:hanging="340"/>
        <w:jc w:val="both"/>
        <w:rPr/>
      </w:pPr>
      <w:r>
        <w:rPr>
          <w:sz w:val="22"/>
          <w:szCs w:val="22"/>
        </w:rPr>
        <w:t>забезпечення цілодобового доступу представників виконавців житлово-комунальних послуг до транзитних інженерних мереж та комунікацій, що проходять через об’єкт малої приватизації на підставі ст.8 Закону України «Про житлово-комунальні послуги» та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17.05.2005р. №76 та зареєстрованих в Мінюсті України 25.08.2005р. за № 927/11207;</w:t>
      </w:r>
    </w:p>
    <w:p>
      <w:pPr>
        <w:pStyle w:val="Normal"/>
        <w:widowControl/>
        <w:numPr>
          <w:ilvl w:val="0"/>
          <w:numId w:val="1"/>
        </w:numPr>
        <w:suppressAutoHyphens w:val="true"/>
        <w:bidi w:val="0"/>
        <w:ind w:left="624" w:right="0" w:hanging="340"/>
        <w:jc w:val="both"/>
        <w:rPr/>
      </w:pPr>
      <w:r>
        <w:rPr>
          <w:sz w:val="22"/>
          <w:szCs w:val="22"/>
        </w:rPr>
        <w:t>у разі подальшого відчуження приватизованого об’єкта до нового власника переходять невиконані зобов’язання, що були передбачені договором купівлі-продажу об’єкта приватизації у відповідності до ст. 27 Закону.</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pPr>
      <w:r>
        <w:rPr>
          <w:b/>
          <w:color w:val="000000"/>
          <w:sz w:val="22"/>
          <w:szCs w:val="22"/>
        </w:rPr>
        <w:t>4. Додаткова інформація:</w:t>
      </w:r>
    </w:p>
    <w:p>
      <w:pPr>
        <w:pStyle w:val="Normal"/>
        <w:tabs>
          <w:tab w:val="clear" w:pos="720"/>
          <w:tab w:val="left" w:pos="0" w:leader="none"/>
        </w:tabs>
        <w:jc w:val="both"/>
        <w:rPr>
          <w:b/>
          <w:b/>
          <w:bCs/>
          <w:color w:val="000000"/>
          <w:sz w:val="22"/>
          <w:szCs w:val="22"/>
        </w:rPr>
      </w:pPr>
      <w:r>
        <w:rPr>
          <w:b/>
          <w:bCs/>
          <w:color w:val="000000"/>
          <w:sz w:val="22"/>
          <w:szCs w:val="22"/>
        </w:rPr>
        <w:t xml:space="preserve">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придбаний об'єкт: </w:t>
      </w:r>
    </w:p>
    <w:p>
      <w:pPr>
        <w:pStyle w:val="Normal"/>
        <w:widowControl w:val="false"/>
        <w:jc w:val="both"/>
        <w:rPr/>
      </w:pPr>
      <w:r>
        <w:rPr>
          <w:sz w:val="22"/>
          <w:szCs w:val="22"/>
        </w:rPr>
        <w:t>Оператор електронного майданчика перераховує на казначейський рахунок                                                   № UA978201720355209001000028931, одержувач: Виконавчий комітет Покровської міської ради Дніпропетровської області, банк одержувача: Держказначейська служба України, м.Київ, код ЄДРПОУ 04052212, суми сплачених учасниками аукціону реєстраційних внесків протягом п’яти робочих днів з дня проведення електронного аукціону.</w:t>
      </w:r>
    </w:p>
    <w:p>
      <w:pPr>
        <w:pStyle w:val="Normal"/>
        <w:widowControl w:val="false"/>
        <w:jc w:val="both"/>
        <w:rPr/>
      </w:pPr>
      <w:r>
        <w:rPr>
          <w:sz w:val="22"/>
          <w:szCs w:val="22"/>
        </w:rPr>
        <w:t>Оператор електронного майданчика перераховує на казначейський №UA978201720355209001000028931, одержувач:  Виконавчий комітет Покровської міської ради Дніпропетровської області, банк одержувача: Держказначейська служба України, м.Київ, код ЄДРПОУ 04052212, сплачений гарантійний внесок переможця електронного аукціону протягом п’яти робочих днів з дня опублікування договору купівлі-продажу об’єкта приватизації в електронній торговій системі в рахунок оплати ціни продажу об’єкта приватизації переможцем.</w:t>
      </w:r>
    </w:p>
    <w:p>
      <w:pPr>
        <w:pStyle w:val="Normal"/>
        <w:widowControl w:val="false"/>
        <w:jc w:val="both"/>
        <w:rPr/>
      </w:pPr>
      <w:bookmarkStart w:id="1" w:name="__DdeLink__1908_2900383593"/>
      <w:r>
        <w:rPr>
          <w:sz w:val="22"/>
          <w:szCs w:val="22"/>
        </w:rPr>
        <w:t>Банківські реквізити, на які переможець аукціону перераховує кошти за придбаний об’єкт: казначейський рахунок №UA978201720355209001000028931, одержувач: Виконавчий комітет Покровської міської ради Дніпропетровської області, банк одержувача: Держказначейська служба України, м.Київ, код ЄДРПОУ 04052212.</w:t>
      </w:r>
      <w:bookmarkEnd w:id="1"/>
    </w:p>
    <w:p>
      <w:pPr>
        <w:pStyle w:val="Normal"/>
        <w:tabs>
          <w:tab w:val="clear" w:pos="720"/>
          <w:tab w:val="left" w:pos="0" w:leader="none"/>
        </w:tabs>
        <w:jc w:val="both"/>
        <w:rPr>
          <w:b/>
          <w:b/>
          <w:bCs/>
          <w:color w:val="000000"/>
          <w:sz w:val="22"/>
          <w:szCs w:val="22"/>
        </w:rPr>
      </w:pPr>
      <w:r>
        <w:rPr>
          <w:b/>
          <w:bCs/>
          <w:color w:val="000000"/>
          <w:sz w:val="22"/>
          <w:szCs w:val="22"/>
        </w:rPr>
      </w:r>
    </w:p>
    <w:p>
      <w:pPr>
        <w:pStyle w:val="Normal"/>
        <w:tabs>
          <w:tab w:val="clear" w:pos="720"/>
          <w:tab w:val="left" w:pos="0" w:leader="none"/>
        </w:tabs>
        <w:jc w:val="both"/>
        <w:rPr/>
      </w:pPr>
      <w:r>
        <w:rPr>
          <w:b/>
          <w:bCs/>
          <w:color w:val="000000"/>
          <w:sz w:val="22"/>
          <w:szCs w:val="22"/>
        </w:rPr>
        <w:t xml:space="preserve">Реквізити рахунків операторів електронних майданчиків, відкритих для сплати покупцями гарантійних та реєстраційних внесків </w:t>
      </w:r>
      <w:r>
        <w:rPr>
          <w:color w:val="000000"/>
          <w:sz w:val="22"/>
          <w:szCs w:val="22"/>
        </w:rPr>
        <w:t xml:space="preserve">розміщені на сайті: </w:t>
      </w:r>
      <w:hyperlink r:id="rId2">
        <w:r>
          <w:rPr>
            <w:rStyle w:val="Style8"/>
            <w:sz w:val="22"/>
            <w:szCs w:val="22"/>
          </w:rPr>
          <w:t>https://prozorro.sale/info/elektronni-majdanchiki-ets-prozorroprodazhi-cbd2</w:t>
        </w:r>
      </w:hyperlink>
      <w:r>
        <w:rPr>
          <w:color w:val="000000"/>
          <w:sz w:val="22"/>
          <w:szCs w:val="22"/>
        </w:rPr>
        <w:t xml:space="preserve"> </w:t>
      </w:r>
    </w:p>
    <w:p>
      <w:pPr>
        <w:pStyle w:val="Normal"/>
        <w:tabs>
          <w:tab w:val="clear" w:pos="720"/>
          <w:tab w:val="left" w:pos="0" w:leader="none"/>
        </w:tabs>
        <w:jc w:val="both"/>
        <w:rPr>
          <w:color w:val="000000"/>
          <w:sz w:val="22"/>
          <w:szCs w:val="22"/>
          <w:lang w:val="ru-RU"/>
        </w:rPr>
      </w:pPr>
      <w:r>
        <w:rPr>
          <w:color w:val="000000"/>
          <w:sz w:val="22"/>
          <w:szCs w:val="22"/>
          <w:lang w:val="ru-RU"/>
        </w:rPr>
      </w:r>
    </w:p>
    <w:p>
      <w:pPr>
        <w:pStyle w:val="Normal"/>
        <w:tabs>
          <w:tab w:val="clear" w:pos="720"/>
          <w:tab w:val="left" w:pos="0" w:leader="none"/>
        </w:tabs>
        <w:jc w:val="both"/>
        <w:rPr>
          <w:b/>
          <w:b/>
          <w:color w:val="000000"/>
          <w:sz w:val="22"/>
          <w:szCs w:val="22"/>
        </w:rPr>
      </w:pPr>
      <w:r>
        <w:rPr>
          <w:b/>
          <w:color w:val="000000"/>
          <w:sz w:val="22"/>
          <w:szCs w:val="22"/>
        </w:rPr>
        <w:t xml:space="preserve">Час і місце проведення огляду об’єкта: </w:t>
      </w:r>
    </w:p>
    <w:p>
      <w:pPr>
        <w:pStyle w:val="Normal"/>
        <w:tabs>
          <w:tab w:val="clear" w:pos="720"/>
          <w:tab w:val="left" w:pos="0" w:leader="none"/>
        </w:tabs>
        <w:jc w:val="both"/>
        <w:rPr>
          <w:sz w:val="22"/>
          <w:szCs w:val="22"/>
        </w:rPr>
      </w:pPr>
      <w:r>
        <w:rPr>
          <w:color w:val="000000"/>
          <w:sz w:val="22"/>
          <w:szCs w:val="22"/>
        </w:rPr>
        <w:t>у робочі дні з 8.00 до 17.00, п’ятниця – з 8.00 до 16.00, обідня перерва з 12.00 до 12.45 за місцезнаходженням:  53300,  вул. Титова, 1а, м. Покров, Дніпропетровська обл., Україна.</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pPr>
      <w:r>
        <w:rPr>
          <w:b/>
          <w:color w:val="000000"/>
          <w:sz w:val="22"/>
          <w:szCs w:val="22"/>
        </w:rPr>
        <w:t>Організатор аукціону</w:t>
      </w:r>
      <w:r>
        <w:rPr>
          <w:color w:val="000000"/>
          <w:sz w:val="22"/>
          <w:szCs w:val="22"/>
        </w:rPr>
        <w:t>:</w:t>
      </w:r>
      <w:r>
        <w:rPr>
          <w:sz w:val="22"/>
          <w:szCs w:val="22"/>
        </w:rPr>
        <w:t xml:space="preserve"> </w:t>
      </w:r>
      <w:r>
        <w:rPr>
          <w:color w:val="000000"/>
          <w:sz w:val="22"/>
          <w:szCs w:val="22"/>
        </w:rPr>
        <w:t>Виконавчий комітет Покровської міської ради Дніпропетровської області; місцезнаходження: 53300, Дніпропетровська</w:t>
      </w:r>
      <w:r>
        <w:rPr>
          <w:bCs/>
          <w:sz w:val="22"/>
          <w:szCs w:val="22"/>
        </w:rPr>
        <w:t xml:space="preserve"> область, місто Покров, вулиця Центральна, 48; </w:t>
      </w:r>
      <w:r>
        <w:rPr>
          <w:color w:val="000000"/>
          <w:sz w:val="22"/>
          <w:szCs w:val="22"/>
        </w:rPr>
        <w:t>адреса веб-сайту:</w:t>
      </w:r>
      <w:r>
        <w:rPr>
          <w:sz w:val="22"/>
          <w:szCs w:val="22"/>
        </w:rPr>
        <w:t xml:space="preserve"> </w:t>
      </w:r>
      <w:hyperlink r:id="rId3">
        <w:r>
          <w:rPr>
            <w:rStyle w:val="Style8"/>
            <w:sz w:val="22"/>
            <w:szCs w:val="22"/>
          </w:rPr>
          <w:t>https://pkrv.dp.gov.ua/</w:t>
        </w:r>
      </w:hyperlink>
      <w:r>
        <w:rPr>
          <w:color w:val="000000"/>
          <w:sz w:val="22"/>
          <w:szCs w:val="22"/>
        </w:rPr>
        <w:t xml:space="preserve">; номер телефону (05667)42244; час роботи служби з організації аукціону – робочі дні з 8:00 до 17:00; контактна особа організатора аукціону, яка є відповідальною за забезпечення можливості огляду об’єкта - </w:t>
      </w:r>
      <w:r>
        <w:rPr>
          <w:sz w:val="22"/>
          <w:szCs w:val="22"/>
          <w:shd w:fill="FFFFFF" w:val="clear"/>
        </w:rPr>
        <w:t xml:space="preserve">Сідашова Тетяна Вікторівна, тел. </w:t>
      </w:r>
      <w:r>
        <w:rPr>
          <w:color w:val="000000"/>
          <w:spacing w:val="-1"/>
          <w:sz w:val="22"/>
          <w:szCs w:val="22"/>
        </w:rPr>
        <w:t xml:space="preserve">+380985035503; </w:t>
      </w:r>
      <w:r>
        <w:rPr>
          <w:color w:val="000000"/>
          <w:sz w:val="22"/>
          <w:szCs w:val="22"/>
        </w:rPr>
        <w:t xml:space="preserve">e-mail: </w:t>
      </w:r>
      <w:hyperlink r:id="rId4">
        <w:r>
          <w:rPr>
            <w:rStyle w:val="Style8"/>
            <w:sz w:val="22"/>
            <w:szCs w:val="22"/>
          </w:rPr>
          <w:t>economica@pokrov-mr.gov.ua</w:t>
        </w:r>
      </w:hyperlink>
    </w:p>
    <w:p>
      <w:pPr>
        <w:pStyle w:val="Normal"/>
        <w:jc w:val="both"/>
        <w:rPr>
          <w:b/>
          <w:b/>
          <w:color w:val="000000"/>
          <w:sz w:val="22"/>
          <w:szCs w:val="22"/>
        </w:rPr>
      </w:pPr>
      <w:r>
        <w:rPr>
          <w:b/>
          <w:color w:val="000000"/>
          <w:sz w:val="22"/>
          <w:szCs w:val="22"/>
        </w:rPr>
      </w:r>
    </w:p>
    <w:p>
      <w:pPr>
        <w:pStyle w:val="Normal"/>
        <w:jc w:val="both"/>
        <w:rPr>
          <w:sz w:val="22"/>
          <w:szCs w:val="22"/>
        </w:rPr>
      </w:pPr>
      <w:r>
        <w:rPr>
          <w:b/>
          <w:color w:val="000000"/>
          <w:sz w:val="22"/>
          <w:szCs w:val="22"/>
        </w:rPr>
        <w:t>Технічні реквізити інформаційного повідомлення:</w:t>
      </w:r>
    </w:p>
    <w:p>
      <w:pPr>
        <w:pStyle w:val="Normal"/>
        <w:jc w:val="both"/>
        <w:rPr>
          <w:sz w:val="22"/>
          <w:szCs w:val="22"/>
        </w:rPr>
      </w:pPr>
      <w:r>
        <w:rPr>
          <w:color w:val="000000"/>
          <w:sz w:val="22"/>
          <w:szCs w:val="22"/>
        </w:rPr>
        <w:t>Дата і номер рішення органу приватизації про затвердження умов продажу об’єкта приватизації: рішення виконавчого комітету Покровської міської ради Дніпропетровської області від 18.12.2019 р. № 514 «Про затвердження умов продажу об’єкта малої приватизації - “Нежитлові будівлі, розташовані по вул. Першотравнева, 1а, м. Покров, Дніпропетровська обл.»</w:t>
      </w:r>
    </w:p>
    <w:p>
      <w:pPr>
        <w:pStyle w:val="Normal"/>
        <w:spacing w:before="0" w:after="0"/>
        <w:contextualSpacing/>
        <w:jc w:val="both"/>
        <w:rPr>
          <w:b/>
          <w:b/>
          <w:color w:val="000000"/>
          <w:sz w:val="22"/>
          <w:szCs w:val="22"/>
        </w:rPr>
      </w:pPr>
      <w:r>
        <w:rPr>
          <w:b/>
          <w:color w:val="000000"/>
          <w:sz w:val="22"/>
          <w:szCs w:val="22"/>
        </w:rPr>
      </w:r>
    </w:p>
    <w:p>
      <w:pPr>
        <w:pStyle w:val="Normal"/>
        <w:spacing w:before="0" w:after="0"/>
        <w:contextualSpacing/>
        <w:jc w:val="both"/>
        <w:rPr/>
      </w:pPr>
      <w:r>
        <w:rPr>
          <w:b/>
          <w:color w:val="000000"/>
          <w:sz w:val="22"/>
          <w:szCs w:val="22"/>
        </w:rPr>
        <w:t>Унікальний код об’єкта:</w:t>
      </w:r>
      <w:r>
        <w:rPr>
          <w:sz w:val="22"/>
          <w:szCs w:val="22"/>
        </w:rPr>
        <w:t xml:space="preserve"> </w:t>
      </w:r>
      <w:r>
        <w:rPr>
          <w:color w:val="000000"/>
          <w:sz w:val="22"/>
          <w:szCs w:val="22"/>
        </w:rPr>
        <w:t>UA-AR-P-2019-05-07-000001-3</w:t>
      </w:r>
    </w:p>
    <w:p>
      <w:pPr>
        <w:pStyle w:val="Normal"/>
        <w:spacing w:before="0" w:after="0"/>
        <w:contextualSpacing/>
        <w:jc w:val="both"/>
        <w:rPr>
          <w:b/>
          <w:b/>
          <w:color w:val="000000"/>
          <w:sz w:val="22"/>
          <w:szCs w:val="22"/>
        </w:rPr>
      </w:pPr>
      <w:r>
        <w:rPr>
          <w:b/>
          <w:color w:val="000000"/>
          <w:sz w:val="22"/>
          <w:szCs w:val="22"/>
        </w:rPr>
      </w:r>
    </w:p>
    <w:p>
      <w:pPr>
        <w:pStyle w:val="Normal"/>
        <w:jc w:val="both"/>
        <w:rPr>
          <w:color w:val="000000"/>
          <w:sz w:val="22"/>
          <w:szCs w:val="22"/>
        </w:rPr>
      </w:pPr>
      <w:r>
        <w:rPr>
          <w:b/>
          <w:color w:val="000000"/>
          <w:sz w:val="22"/>
          <w:szCs w:val="22"/>
        </w:rPr>
        <w:t xml:space="preserve">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 </w:t>
      </w:r>
    </w:p>
    <w:p>
      <w:pPr>
        <w:pStyle w:val="Normal"/>
        <w:jc w:val="both"/>
        <w:rPr>
          <w:sz w:val="22"/>
          <w:szCs w:val="22"/>
        </w:rPr>
      </w:pPr>
      <w:r>
        <w:rPr>
          <w:b/>
          <w:bCs/>
          <w:color w:val="000000"/>
          <w:sz w:val="22"/>
          <w:szCs w:val="22"/>
        </w:rPr>
        <w:t>21 календарний день</w:t>
      </w:r>
      <w:r>
        <w:rPr>
          <w:color w:val="000000"/>
          <w:sz w:val="22"/>
          <w:szCs w:val="22"/>
        </w:rPr>
        <w:t xml:space="preserve"> від дати опублікування інформаційного повідомлення про приватизацію об’єкта ЕТС.</w:t>
      </w:r>
    </w:p>
    <w:p>
      <w:pPr>
        <w:pStyle w:val="Normal"/>
        <w:tabs>
          <w:tab w:val="clear" w:pos="720"/>
          <w:tab w:val="left" w:pos="0" w:leader="none"/>
        </w:tabs>
        <w:jc w:val="both"/>
        <w:rPr>
          <w:sz w:val="22"/>
          <w:szCs w:val="22"/>
        </w:rPr>
      </w:pPr>
      <w:r>
        <w:rPr>
          <w:b/>
          <w:color w:val="000000"/>
          <w:sz w:val="22"/>
          <w:szCs w:val="22"/>
        </w:rPr>
        <w:t>Крок аукціону для:</w:t>
      </w:r>
    </w:p>
    <w:p>
      <w:pPr>
        <w:pStyle w:val="Normal"/>
        <w:tabs>
          <w:tab w:val="clear" w:pos="720"/>
          <w:tab w:val="left" w:pos="0" w:leader="none"/>
        </w:tabs>
        <w:jc w:val="both"/>
        <w:rPr/>
      </w:pPr>
      <w:r>
        <w:rPr>
          <w:color w:val="000000"/>
          <w:sz w:val="22"/>
          <w:szCs w:val="22"/>
        </w:rPr>
        <w:t>- аукціону з умовами – 1573,58 грн.;</w:t>
      </w:r>
    </w:p>
    <w:p>
      <w:pPr>
        <w:pStyle w:val="Normal"/>
        <w:tabs>
          <w:tab w:val="clear" w:pos="720"/>
          <w:tab w:val="left" w:pos="0" w:leader="none"/>
        </w:tabs>
        <w:jc w:val="both"/>
        <w:rPr/>
      </w:pPr>
      <w:r>
        <w:rPr>
          <w:color w:val="000000"/>
          <w:sz w:val="22"/>
          <w:szCs w:val="22"/>
        </w:rPr>
        <w:t>- аукціону із зниженням стартової ціни – 786,79 грн.;</w:t>
      </w:r>
    </w:p>
    <w:p>
      <w:pPr>
        <w:pStyle w:val="Normal"/>
        <w:tabs>
          <w:tab w:val="clear" w:pos="720"/>
          <w:tab w:val="left" w:pos="0" w:leader="none"/>
        </w:tabs>
        <w:jc w:val="both"/>
        <w:rPr/>
      </w:pPr>
      <w:r>
        <w:rPr>
          <w:color w:val="000000"/>
          <w:sz w:val="22"/>
          <w:szCs w:val="22"/>
        </w:rPr>
        <w:t>- аукціону за методом покрокового зниження стартової ціни та подальшого подання цінових пропозицій – 786,79 грн.</w:t>
      </w:r>
    </w:p>
    <w:p>
      <w:pPr>
        <w:pStyle w:val="Normal"/>
        <w:tabs>
          <w:tab w:val="clear" w:pos="720"/>
          <w:tab w:val="left" w:pos="0" w:leader="none"/>
        </w:tabs>
        <w:jc w:val="both"/>
        <w:rPr>
          <w:b/>
          <w:b/>
          <w:color w:val="000000"/>
          <w:sz w:val="22"/>
          <w:szCs w:val="22"/>
        </w:rPr>
      </w:pPr>
      <w:r>
        <w:rPr>
          <w:b/>
          <w:color w:val="000000"/>
          <w:sz w:val="22"/>
          <w:szCs w:val="22"/>
        </w:rPr>
      </w:r>
    </w:p>
    <w:p>
      <w:pPr>
        <w:pStyle w:val="Normal"/>
        <w:tabs>
          <w:tab w:val="clear" w:pos="720"/>
          <w:tab w:val="left" w:pos="0" w:leader="none"/>
        </w:tabs>
        <w:jc w:val="both"/>
        <w:rPr/>
      </w:pPr>
      <w:r>
        <w:rPr>
          <w:b/>
          <w:color w:val="000000"/>
          <w:sz w:val="22"/>
          <w:szCs w:val="22"/>
        </w:rPr>
        <w:t>Загальна кількість кроків</w:t>
      </w:r>
      <w:r>
        <w:rPr>
          <w:color w:val="000000"/>
          <w:sz w:val="22"/>
          <w:szCs w:val="22"/>
        </w:rPr>
        <w:t xml:space="preserve">, на які знижується стартова ціна Об’єкта приватизації на аукціоні за методом покрокового зниження ціни та подальшого подання цінових пропозицій, становить              </w:t>
      </w:r>
      <w:r>
        <w:rPr>
          <w:b/>
          <w:color w:val="000000"/>
          <w:sz w:val="22"/>
          <w:szCs w:val="22"/>
          <w:lang w:val="ru-RU"/>
        </w:rPr>
        <w:t>70</w:t>
      </w:r>
      <w:r>
        <w:rPr>
          <w:b/>
          <w:color w:val="000000"/>
          <w:sz w:val="22"/>
          <w:szCs w:val="22"/>
        </w:rPr>
        <w:t xml:space="preserve"> кроків</w:t>
      </w:r>
      <w:r>
        <w:rPr>
          <w:color w:val="000000"/>
          <w:sz w:val="22"/>
          <w:szCs w:val="22"/>
        </w:rPr>
        <w:t>.</w:t>
      </w:r>
    </w:p>
    <w:p>
      <w:pPr>
        <w:pStyle w:val="Normal"/>
        <w:jc w:val="both"/>
        <w:rPr>
          <w:b/>
          <w:b/>
          <w:color w:val="000000"/>
        </w:rPr>
      </w:pPr>
      <w:r>
        <w:rPr>
          <w:b/>
          <w:color w:val="000000"/>
        </w:rPr>
      </w:r>
    </w:p>
    <w:p>
      <w:pPr>
        <w:pStyle w:val="Normal"/>
        <w:jc w:val="both"/>
        <w:rPr>
          <w:sz w:val="22"/>
          <w:szCs w:val="22"/>
        </w:rPr>
      </w:pPr>
      <w:r>
        <w:rPr>
          <w:b/>
          <w:color w:val="000000"/>
          <w:sz w:val="22"/>
          <w:szCs w:val="22"/>
        </w:rPr>
        <w:t>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уклад відповідний договір:</w:t>
      </w:r>
    </w:p>
    <w:p>
      <w:pPr>
        <w:pStyle w:val="Normal"/>
        <w:jc w:val="both"/>
        <w:rPr/>
      </w:pPr>
      <w:hyperlink r:id="rId5">
        <w:r>
          <w:rPr>
            <w:rStyle w:val="Style8"/>
            <w:sz w:val="22"/>
            <w:szCs w:val="22"/>
          </w:rPr>
          <w:t>https://prozorro.sale/info/elektronni-majdanchiki-ets-prozorroprodazhi-cbd2</w:t>
        </w:r>
      </w:hyperlink>
      <w:r>
        <w:rPr>
          <w:color w:val="000000"/>
          <w:sz w:val="22"/>
          <w:szCs w:val="22"/>
          <w:u w:val="single"/>
        </w:rPr>
        <w:t xml:space="preserve"> </w:t>
      </w:r>
    </w:p>
    <w:sectPr>
      <w:type w:val="nextPage"/>
      <w:pgSz w:w="11906" w:h="16838"/>
      <w:pgMar w:left="1418" w:right="851" w:header="720" w:top="851" w:footer="720" w:bottom="851"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Symbol">
    <w:charset w:val="01"/>
    <w:family w:val="roman"/>
    <w:pitch w:val="variable"/>
  </w:font>
  <w:font w:name="Liberation Sans">
    <w:altName w:val="Arial"/>
    <w:charset w:val="01"/>
    <w:family w:val="roman"/>
    <w:pitch w:val="variable"/>
  </w:font>
  <w:font w:name="Georgia">
    <w:charset w:val="01"/>
    <w:family w:val="roman"/>
    <w:pitch w:val="variable"/>
  </w:font>
  <w:font w:name="UkrainianMysl">
    <w:altName w:val="Courier New"/>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647" w:hanging="360"/>
      </w:pPr>
      <w:rPr>
        <w:rFonts w:ascii="Symbol" w:hAnsi="Symbol" w:cs="Symbol" w:hint="default"/>
        <w:sz w:val="24"/>
        <w:szCs w:val="22"/>
        <w:rFonts w:cs="OpenSymbol;Arial Unicode M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5d13"/>
    <w:pPr>
      <w:widowControl/>
      <w:bidi w:val="0"/>
      <w:jc w:val="left"/>
    </w:pPr>
    <w:rPr>
      <w:rFonts w:ascii="Times New Roman" w:hAnsi="Times New Roman" w:eastAsia="Times New Roman" w:cs="Times New Roman"/>
      <w:color w:val="auto"/>
      <w:kern w:val="0"/>
      <w:sz w:val="20"/>
      <w:szCs w:val="20"/>
      <w:lang w:val="uk-UA" w:eastAsia="ru-RU" w:bidi="ar-SA"/>
    </w:rPr>
  </w:style>
  <w:style w:type="paragraph" w:styleId="1">
    <w:name w:val="Heading 1"/>
    <w:basedOn w:val="Normal"/>
    <w:next w:val="Normal"/>
    <w:qFormat/>
    <w:rsid w:val="00b93d79"/>
    <w:pPr>
      <w:keepNext w:val="true"/>
      <w:keepLines/>
      <w:spacing w:before="480" w:after="120"/>
      <w:outlineLvl w:val="0"/>
    </w:pPr>
    <w:rPr>
      <w:b/>
      <w:color w:val="000000"/>
      <w:sz w:val="48"/>
      <w:szCs w:val="48"/>
    </w:rPr>
  </w:style>
  <w:style w:type="paragraph" w:styleId="2">
    <w:name w:val="Heading 2"/>
    <w:basedOn w:val="Normal"/>
    <w:next w:val="Normal"/>
    <w:qFormat/>
    <w:rsid w:val="00b93d79"/>
    <w:pPr>
      <w:keepNext w:val="true"/>
      <w:keepLines/>
      <w:spacing w:before="360" w:after="80"/>
      <w:outlineLvl w:val="1"/>
    </w:pPr>
    <w:rPr>
      <w:b/>
      <w:color w:val="000000"/>
      <w:sz w:val="36"/>
      <w:szCs w:val="36"/>
    </w:rPr>
  </w:style>
  <w:style w:type="paragraph" w:styleId="3">
    <w:name w:val="Heading 3"/>
    <w:basedOn w:val="Normal"/>
    <w:next w:val="Normal"/>
    <w:qFormat/>
    <w:rsid w:val="00b93d79"/>
    <w:pPr>
      <w:keepNext w:val="true"/>
      <w:keepLines/>
      <w:spacing w:before="280" w:after="80"/>
      <w:outlineLvl w:val="2"/>
    </w:pPr>
    <w:rPr>
      <w:b/>
      <w:color w:val="000000"/>
      <w:sz w:val="28"/>
      <w:szCs w:val="28"/>
    </w:rPr>
  </w:style>
  <w:style w:type="paragraph" w:styleId="4">
    <w:name w:val="Heading 4"/>
    <w:basedOn w:val="Normal"/>
    <w:next w:val="Normal"/>
    <w:qFormat/>
    <w:rsid w:val="00b93d79"/>
    <w:pPr>
      <w:keepNext w:val="true"/>
      <w:keepLines/>
      <w:spacing w:before="240" w:after="40"/>
      <w:outlineLvl w:val="3"/>
    </w:pPr>
    <w:rPr>
      <w:b/>
      <w:color w:val="000000"/>
      <w:sz w:val="24"/>
      <w:szCs w:val="24"/>
    </w:rPr>
  </w:style>
  <w:style w:type="paragraph" w:styleId="5">
    <w:name w:val="Heading 5"/>
    <w:basedOn w:val="Normal"/>
    <w:next w:val="Normal"/>
    <w:qFormat/>
    <w:rsid w:val="00b93d79"/>
    <w:pPr>
      <w:keepNext w:val="true"/>
      <w:keepLines/>
      <w:spacing w:before="220" w:after="40"/>
      <w:outlineLvl w:val="4"/>
    </w:pPr>
    <w:rPr>
      <w:b/>
      <w:color w:val="000000"/>
      <w:sz w:val="22"/>
      <w:szCs w:val="22"/>
    </w:rPr>
  </w:style>
  <w:style w:type="paragraph" w:styleId="6">
    <w:name w:val="Heading 6"/>
    <w:basedOn w:val="Normal"/>
    <w:next w:val="Normal"/>
    <w:qFormat/>
    <w:rsid w:val="00b93d79"/>
    <w:pPr>
      <w:keepNext w:val="true"/>
      <w:keepLines/>
      <w:spacing w:before="200" w:after="40"/>
      <w:outlineLvl w:val="5"/>
    </w:pPr>
    <w:rPr>
      <w:b/>
      <w:color w:val="000000"/>
    </w:rPr>
  </w:style>
  <w:style w:type="character" w:styleId="DefaultParagraphFont" w:default="1">
    <w:name w:val="Default Paragraph Font"/>
    <w:uiPriority w:val="1"/>
    <w:semiHidden/>
    <w:unhideWhenUsed/>
    <w:qFormat/>
    <w:rPr/>
  </w:style>
  <w:style w:type="character" w:styleId="Style8">
    <w:name w:val="Интернет-ссылка"/>
    <w:basedOn w:val="DefaultParagraphFont"/>
    <w:uiPriority w:val="99"/>
    <w:unhideWhenUsed/>
    <w:rsid w:val="004074b5"/>
    <w:rPr>
      <w:color w:val="0000FF" w:themeColor="hyperlink"/>
      <w:u w:val="single"/>
    </w:rPr>
  </w:style>
  <w:style w:type="character" w:styleId="Style9" w:customStyle="1">
    <w:name w:val="Текст выноски Знак"/>
    <w:basedOn w:val="DefaultParagraphFont"/>
    <w:link w:val="a6"/>
    <w:uiPriority w:val="99"/>
    <w:semiHidden/>
    <w:qFormat/>
    <w:rsid w:val="00101cdd"/>
    <w:rPr>
      <w:rFonts w:ascii="Segoe UI" w:hAnsi="Segoe UI" w:cs="Segoe UI"/>
      <w:sz w:val="18"/>
      <w:szCs w:val="18"/>
    </w:rPr>
  </w:style>
  <w:style w:type="character" w:styleId="ListLabel1">
    <w:name w:val="ListLabel 1"/>
    <w:qFormat/>
    <w:rPr>
      <w:sz w:val="22"/>
      <w:szCs w:val="22"/>
    </w:rPr>
  </w:style>
  <w:style w:type="character" w:styleId="ListLabel2">
    <w:name w:val="ListLabel 2"/>
    <w:qFormat/>
    <w:rPr>
      <w:sz w:val="22"/>
      <w:szCs w:val="22"/>
    </w:rPr>
  </w:style>
  <w:style w:type="character" w:styleId="ListLabel3">
    <w:name w:val="ListLabel 3"/>
    <w:qFormat/>
    <w:rPr>
      <w:color w:val="000000"/>
      <w:sz w:val="22"/>
      <w:szCs w:val="22"/>
    </w:rPr>
  </w:style>
  <w:style w:type="character" w:styleId="ListLabel4">
    <w:name w:val="ListLabel 4"/>
    <w:qFormat/>
    <w:rPr>
      <w:sz w:val="22"/>
      <w:szCs w:val="22"/>
    </w:rPr>
  </w:style>
  <w:style w:type="character" w:styleId="ListLabel5">
    <w:name w:val="ListLabel 5"/>
    <w:qFormat/>
    <w:rPr>
      <w:color w:val="000000"/>
      <w:sz w:val="22"/>
      <w:szCs w:val="22"/>
    </w:rPr>
  </w:style>
  <w:style w:type="character" w:styleId="ListLabel6">
    <w:name w:val="ListLabel 6"/>
    <w:qFormat/>
    <w:rPr>
      <w:sz w:val="22"/>
      <w:szCs w:val="22"/>
    </w:rPr>
  </w:style>
  <w:style w:type="character" w:styleId="ListLabel7">
    <w:name w:val="ListLabel 7"/>
    <w:qFormat/>
    <w:rPr>
      <w:color w:val="000000"/>
      <w:sz w:val="22"/>
      <w:szCs w:val="22"/>
    </w:rPr>
  </w:style>
  <w:style w:type="character" w:styleId="ListLabel8">
    <w:name w:val="ListLabel 8"/>
    <w:qFormat/>
    <w:rPr>
      <w:sz w:val="22"/>
      <w:szCs w:val="22"/>
    </w:rPr>
  </w:style>
  <w:style w:type="character" w:styleId="ListLabel9">
    <w:name w:val="ListLabel 9"/>
    <w:qFormat/>
    <w:rPr>
      <w:color w:val="000000"/>
      <w:sz w:val="22"/>
      <w:szCs w:val="22"/>
    </w:rPr>
  </w:style>
  <w:style w:type="character" w:styleId="ListLabel10">
    <w:name w:val="ListLabel 10"/>
    <w:qFormat/>
    <w:rPr>
      <w:sz w:val="22"/>
      <w:szCs w:val="22"/>
    </w:rPr>
  </w:style>
  <w:style w:type="character" w:styleId="ListLabel11">
    <w:name w:val="ListLabel 11"/>
    <w:qFormat/>
    <w:rPr>
      <w:color w:val="000000"/>
      <w:sz w:val="22"/>
      <w:szCs w:val="22"/>
    </w:rPr>
  </w:style>
  <w:style w:type="character" w:styleId="ListLabel12">
    <w:name w:val="ListLabel 12"/>
    <w:qFormat/>
    <w:rPr>
      <w:sz w:val="22"/>
      <w:szCs w:val="22"/>
    </w:rPr>
  </w:style>
  <w:style w:type="character" w:styleId="ListLabel13">
    <w:name w:val="ListLabel 13"/>
    <w:qFormat/>
    <w:rPr>
      <w:color w:val="000000"/>
      <w:sz w:val="22"/>
      <w:szCs w:val="22"/>
    </w:rPr>
  </w:style>
  <w:style w:type="character" w:styleId="ListLabel14">
    <w:name w:val="ListLabel 14"/>
    <w:qFormat/>
    <w:rPr>
      <w:sz w:val="22"/>
      <w:szCs w:val="22"/>
    </w:rPr>
  </w:style>
  <w:style w:type="character" w:styleId="ListLabel15">
    <w:name w:val="ListLabel 15"/>
    <w:qFormat/>
    <w:rPr>
      <w:color w:val="000000"/>
      <w:sz w:val="22"/>
      <w:szCs w:val="22"/>
    </w:rPr>
  </w:style>
  <w:style w:type="character" w:styleId="ListLabel16">
    <w:name w:val="ListLabel 16"/>
    <w:qFormat/>
    <w:rPr>
      <w:sz w:val="22"/>
      <w:szCs w:val="22"/>
    </w:rPr>
  </w:style>
  <w:style w:type="character" w:styleId="ListLabel17">
    <w:name w:val="ListLabel 17"/>
    <w:qFormat/>
    <w:rPr>
      <w:sz w:val="22"/>
      <w:szCs w:val="22"/>
    </w:rPr>
  </w:style>
  <w:style w:type="character" w:styleId="ListLabel18">
    <w:name w:val="ListLabel 18"/>
    <w:qFormat/>
    <w:rPr>
      <w:sz w:val="22"/>
      <w:szCs w:val="22"/>
    </w:rPr>
  </w:style>
  <w:style w:type="character" w:styleId="ListLabel19">
    <w:name w:val="ListLabel 19"/>
    <w:qFormat/>
    <w:rPr>
      <w:sz w:val="22"/>
      <w:szCs w:val="22"/>
    </w:rPr>
  </w:style>
  <w:style w:type="character" w:styleId="ListLabel20">
    <w:name w:val="ListLabel 20"/>
    <w:qFormat/>
    <w:rPr>
      <w:sz w:val="22"/>
      <w:szCs w:val="22"/>
    </w:rPr>
  </w:style>
  <w:style w:type="character" w:styleId="ListLabel21">
    <w:name w:val="ListLabel 21"/>
    <w:qFormat/>
    <w:rPr>
      <w:sz w:val="22"/>
      <w:szCs w:val="22"/>
    </w:rPr>
  </w:style>
  <w:style w:type="character" w:styleId="WW8Num3z0">
    <w:name w:val="WW8Num3z0"/>
    <w:qFormat/>
    <w:rPr>
      <w:rFonts w:ascii="Symbol" w:hAnsi="Symbol" w:cs="OpenSymbol;Arial Unicode MS"/>
      <w:sz w:val="22"/>
      <w:szCs w:val="22"/>
    </w:rPr>
  </w:style>
  <w:style w:type="character" w:styleId="ListLabel22">
    <w:name w:val="ListLabel 22"/>
    <w:qFormat/>
    <w:rPr>
      <w:rFonts w:cs="OpenSymbol;Arial Unicode MS"/>
      <w:sz w:val="24"/>
      <w:szCs w:val="22"/>
    </w:rPr>
  </w:style>
  <w:style w:type="character" w:styleId="ListLabel23">
    <w:name w:val="ListLabel 23"/>
    <w:qFormat/>
    <w:rPr>
      <w:sz w:val="22"/>
      <w:szCs w:val="22"/>
    </w:rPr>
  </w:style>
  <w:style w:type="character" w:styleId="Style10">
    <w:name w:val="Выделение жирным"/>
    <w:qFormat/>
    <w:rPr>
      <w:b/>
      <w:bCs/>
    </w:rPr>
  </w:style>
  <w:style w:type="character" w:styleId="ListLabel24">
    <w:name w:val="ListLabel 24"/>
    <w:qFormat/>
    <w:rPr>
      <w:rFonts w:cs="OpenSymbol;Arial Unicode MS"/>
      <w:sz w:val="24"/>
      <w:szCs w:val="22"/>
    </w:rPr>
  </w:style>
  <w:style w:type="character" w:styleId="ListLabel25">
    <w:name w:val="ListLabel 25"/>
    <w:qFormat/>
    <w:rPr>
      <w:sz w:val="22"/>
      <w:szCs w:val="22"/>
    </w:rPr>
  </w:style>
  <w:style w:type="character" w:styleId="ListLabel26">
    <w:name w:val="ListLabel 26"/>
    <w:qFormat/>
    <w:rPr>
      <w:rFonts w:cs="OpenSymbol;Arial Unicode MS"/>
      <w:sz w:val="24"/>
      <w:szCs w:val="22"/>
    </w:rPr>
  </w:style>
  <w:style w:type="character" w:styleId="ListLabel27">
    <w:name w:val="ListLabel 27"/>
    <w:qFormat/>
    <w:rPr>
      <w:sz w:val="22"/>
      <w:szCs w:val="22"/>
    </w:rPr>
  </w:style>
  <w:style w:type="character" w:styleId="ListLabel28">
    <w:name w:val="ListLabel 28"/>
    <w:qFormat/>
    <w:rPr>
      <w:rFonts w:cs="OpenSymbol;Arial Unicode MS"/>
      <w:sz w:val="24"/>
      <w:szCs w:val="22"/>
    </w:rPr>
  </w:style>
  <w:style w:type="character" w:styleId="ListLabel29">
    <w:name w:val="ListLabel 29"/>
    <w:qFormat/>
    <w:rPr>
      <w:sz w:val="22"/>
      <w:szCs w:val="22"/>
    </w:rPr>
  </w:style>
  <w:style w:type="character" w:styleId="ListLabel30">
    <w:name w:val="ListLabel 30"/>
    <w:qFormat/>
    <w:rPr>
      <w:rFonts w:cs="OpenSymbol;Arial Unicode MS"/>
      <w:sz w:val="24"/>
      <w:szCs w:val="22"/>
    </w:rPr>
  </w:style>
  <w:style w:type="character" w:styleId="ListLabel31">
    <w:name w:val="ListLabel 31"/>
    <w:qFormat/>
    <w:rPr>
      <w:sz w:val="22"/>
      <w:szCs w:val="22"/>
    </w:rPr>
  </w:style>
  <w:style w:type="character" w:styleId="ListLabel32">
    <w:name w:val="ListLabel 32"/>
    <w:qFormat/>
    <w:rPr>
      <w:rFonts w:cs="OpenSymbol;Arial Unicode MS"/>
      <w:sz w:val="24"/>
      <w:szCs w:val="22"/>
    </w:rPr>
  </w:style>
  <w:style w:type="character" w:styleId="ListLabel33">
    <w:name w:val="ListLabel 33"/>
    <w:qFormat/>
    <w:rPr>
      <w:sz w:val="22"/>
      <w:szCs w:val="22"/>
    </w:rPr>
  </w:style>
  <w:style w:type="character" w:styleId="ListLabel34">
    <w:name w:val="ListLabel 34"/>
    <w:qFormat/>
    <w:rPr>
      <w:rFonts w:cs="OpenSymbol;Arial Unicode MS"/>
      <w:sz w:val="24"/>
      <w:szCs w:val="22"/>
    </w:rPr>
  </w:style>
  <w:style w:type="character" w:styleId="ListLabel35">
    <w:name w:val="ListLabel 35"/>
    <w:qFormat/>
    <w:rPr>
      <w:sz w:val="22"/>
      <w:szCs w:val="22"/>
    </w:rPr>
  </w:style>
  <w:style w:type="character" w:styleId="ListLabel36">
    <w:name w:val="ListLabel 36"/>
    <w:qFormat/>
    <w:rPr>
      <w:rFonts w:cs="OpenSymbol;Arial Unicode MS"/>
      <w:sz w:val="24"/>
      <w:szCs w:val="22"/>
    </w:rPr>
  </w:style>
  <w:style w:type="character" w:styleId="ListLabel37">
    <w:name w:val="ListLabel 37"/>
    <w:qFormat/>
    <w:rPr>
      <w:sz w:val="22"/>
      <w:szCs w:val="22"/>
    </w:rPr>
  </w:style>
  <w:style w:type="character" w:styleId="ListLabel38">
    <w:name w:val="ListLabel 38"/>
    <w:qFormat/>
    <w:rPr>
      <w:rFonts w:cs="OpenSymbol;Arial Unicode MS"/>
      <w:sz w:val="24"/>
      <w:szCs w:val="22"/>
    </w:rPr>
  </w:style>
  <w:style w:type="character" w:styleId="ListLabel39">
    <w:name w:val="ListLabel 39"/>
    <w:qFormat/>
    <w:rPr>
      <w:color w:val="000000"/>
      <w:sz w:val="22"/>
      <w:szCs w:val="22"/>
    </w:rPr>
  </w:style>
  <w:style w:type="character" w:styleId="ListLabel40">
    <w:name w:val="ListLabel 40"/>
    <w:qFormat/>
    <w:rPr>
      <w:sz w:val="22"/>
      <w:szCs w:val="22"/>
    </w:rPr>
  </w:style>
  <w:style w:type="character" w:styleId="ListLabel41">
    <w:name w:val="ListLabel 41"/>
    <w:qFormat/>
    <w:rPr>
      <w:rFonts w:cs="OpenSymbol;Arial Unicode MS"/>
      <w:sz w:val="24"/>
      <w:szCs w:val="22"/>
    </w:rPr>
  </w:style>
  <w:style w:type="character" w:styleId="ListLabel42">
    <w:name w:val="ListLabel 42"/>
    <w:qFormat/>
    <w:rPr>
      <w:sz w:val="22"/>
      <w:szCs w:val="22"/>
    </w:rPr>
  </w:style>
  <w:style w:type="paragraph" w:styleId="Style11">
    <w:name w:val="Заголовок"/>
    <w:basedOn w:val="Normal"/>
    <w:next w:val="Style12"/>
    <w:qFormat/>
    <w:pPr>
      <w:keepNext w:val="true"/>
      <w:spacing w:before="240" w:after="120"/>
    </w:pPr>
    <w:rPr>
      <w:rFonts w:ascii="Liberation Sans" w:hAnsi="Liberation Sans" w:eastAsia="WenQuanYi Micro Hei" w:cs="Lohit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ohit Devanagari"/>
    </w:rPr>
  </w:style>
  <w:style w:type="paragraph" w:styleId="Style14">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Style16">
    <w:name w:val="Title"/>
    <w:basedOn w:val="Normal"/>
    <w:next w:val="Normal"/>
    <w:qFormat/>
    <w:rsid w:val="00b93d79"/>
    <w:pPr>
      <w:keepNext w:val="true"/>
      <w:keepLines/>
      <w:spacing w:before="480" w:after="120"/>
    </w:pPr>
    <w:rPr>
      <w:b/>
      <w:color w:val="000000"/>
      <w:sz w:val="72"/>
      <w:szCs w:val="72"/>
    </w:rPr>
  </w:style>
  <w:style w:type="paragraph" w:styleId="Style17">
    <w:name w:val="Subtitle"/>
    <w:basedOn w:val="Normal"/>
    <w:next w:val="Normal"/>
    <w:qFormat/>
    <w:rsid w:val="00b93d79"/>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7"/>
    <w:uiPriority w:val="99"/>
    <w:semiHidden/>
    <w:unhideWhenUsed/>
    <w:qFormat/>
    <w:rsid w:val="00101cdd"/>
    <w:pPr/>
    <w:rPr>
      <w:rFonts w:ascii="Segoe UI" w:hAnsi="Segoe UI" w:cs="Segoe UI"/>
      <w:sz w:val="18"/>
      <w:szCs w:val="18"/>
    </w:rPr>
  </w:style>
  <w:style w:type="paragraph" w:styleId="ListParagraph">
    <w:name w:val="List Paragraph"/>
    <w:basedOn w:val="Normal"/>
    <w:uiPriority w:val="34"/>
    <w:qFormat/>
    <w:rsid w:val="00ab782f"/>
    <w:pPr>
      <w:spacing w:before="0" w:after="0"/>
      <w:ind w:left="720" w:hanging="0"/>
      <w:contextualSpacing/>
    </w:pPr>
    <w:rPr/>
  </w:style>
  <w:style w:type="paragraph" w:styleId="31">
    <w:name w:val="Основной текст 3"/>
    <w:basedOn w:val="Normal"/>
    <w:qFormat/>
    <w:pPr>
      <w:jc w:val="both"/>
    </w:pPr>
    <w:rPr>
      <w:rFonts w:ascii="UkrainianMysl;Courier New" w:hAnsi="UkrainianMysl;Courier New" w:cs="UkrainianMysl;Courier New"/>
      <w:color w:val="000000"/>
      <w:sz w:val="26"/>
    </w:rPr>
  </w:style>
  <w:style w:type="paragraph" w:styleId="Style18">
    <w:name w:val="Содержимое таблицы"/>
    <w:basedOn w:val="Normal"/>
    <w:qFormat/>
    <w:pPr>
      <w:suppressLineNumbers/>
    </w:pPr>
    <w:rPr/>
  </w:style>
  <w:style w:type="paragraph" w:styleId="Style19">
    <w:name w:val="Заголовок таблицы"/>
    <w:basedOn w:val="Style18"/>
    <w:qFormat/>
    <w:pPr>
      <w:suppressLineNumbers/>
      <w:jc w:val="center"/>
    </w:pPr>
    <w:rPr>
      <w:b/>
      <w:bCs/>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b93d7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zorro.sale/info/elektronni-majdanchiki-ets-prozorroprodazhi-cbd2" TargetMode="External"/><Relationship Id="rId3" Type="http://schemas.openxmlformats.org/officeDocument/2006/relationships/hyperlink" Target="https://pkrv.dp.gov.ua/" TargetMode="External"/><Relationship Id="rId4" Type="http://schemas.openxmlformats.org/officeDocument/2006/relationships/hyperlink" Target="mailto:economica@pokrov-mr.gov.ua" TargetMode="External"/><Relationship Id="rId5" Type="http://schemas.openxmlformats.org/officeDocument/2006/relationships/hyperlink" Target="https://prozorro.sale/info/elektronni-majdanchiki-ets-prozorroprodazhi-cbd2"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E0CA-11F0-472F-835D-9D58D9BD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Application>LibreOffice/6.2.0.3$Linux_X86_64 LibreOffice_project/98c6a8a1c6c7b144ce3cc729e34964b47ce25d62</Application>
  <Pages>3</Pages>
  <Words>1278</Words>
  <Characters>9438</Characters>
  <CharactersWithSpaces>10774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2018-09-02T17:40:00Z</dcterms:created>
  <dc:creator>Admin</dc:creator>
  <dc:description/>
  <dc:language>ru-RU</dc:language>
  <cp:lastModifiedBy/>
  <cp:lastPrinted>2020-01-21T13:45:59Z</cp:lastPrinted>
  <dcterms:modified xsi:type="dcterms:W3CDTF">2020-01-21T13:48:37Z</dcterms:modified>
  <cp:revision>537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