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нежитлової будівлі загальною площею </w:t>
      </w:r>
      <w:r>
        <w:rPr>
          <w:b/>
          <w:color w:val="000000"/>
          <w:sz w:val="22"/>
          <w:szCs w:val="22"/>
        </w:rPr>
        <w:t>169,8</w:t>
      </w:r>
      <w:r>
        <w:rPr>
          <w:b/>
          <w:color w:val="000000"/>
          <w:sz w:val="22"/>
          <w:szCs w:val="22"/>
        </w:rPr>
        <w:t xml:space="preserve"> м</w:t>
      </w:r>
      <w:r>
        <w:rPr>
          <w:b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b/>
          <w:color w:val="000000"/>
          <w:sz w:val="22"/>
          <w:szCs w:val="22"/>
        </w:rPr>
        <w:t xml:space="preserve">за адресою: Дніпропетровська обл., м. Покров, вул. Титова, 1а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r>
        <w:rPr>
          <w:b w:val="false"/>
          <w:bCs w:val="false"/>
          <w:color w:val="000000"/>
          <w:sz w:val="22"/>
          <w:szCs w:val="22"/>
        </w:rPr>
        <w:t xml:space="preserve">нежитлова будівля (бокс для ремонту та кузня) загальною площею </w:t>
      </w:r>
      <w:r>
        <w:rPr>
          <w:b w:val="false"/>
          <w:bCs w:val="false"/>
          <w:color w:val="000000"/>
          <w:sz w:val="22"/>
          <w:szCs w:val="22"/>
        </w:rPr>
        <w:t>169,8</w:t>
      </w:r>
      <w:r>
        <w:rPr>
          <w:b w:val="false"/>
          <w:bCs w:val="false"/>
          <w:color w:val="000000"/>
          <w:sz w:val="22"/>
          <w:szCs w:val="22"/>
        </w:rPr>
        <w:t xml:space="preserve"> м</w:t>
      </w:r>
      <w:r>
        <w:rPr>
          <w:b w:val="false"/>
          <w:bCs w:val="false"/>
          <w:color w:val="000000"/>
          <w:sz w:val="22"/>
          <w:szCs w:val="22"/>
          <w:vertAlign w:val="superscript"/>
        </w:rPr>
        <w:t>2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(далі – об’єкт приватизації).</w:t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вулиця Титова, будинок 1а.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shd w:val="clear" w:color="auto" w:fill="FFFFFF"/>
        <w:jc w:val="both"/>
        <w:rPr/>
      </w:pPr>
      <w:bookmarkStart w:id="0" w:name="__DdeLink__1048_225032694"/>
      <w:r>
        <w:rPr>
          <w:color w:val="000000"/>
          <w:spacing w:val="-1"/>
          <w:sz w:val="22"/>
          <w:szCs w:val="22"/>
        </w:rPr>
        <w:t>Орієнтовний рік побудови 2001. Об’єкт складається п'яти приміщень та має три окремі входи. Конструктивні елементи будівлі: фундамент – бетон, стіни – цегла, перекриття – ж/б блоки, покрівля – руберойд, підлога – бетон, ворота — металеві. Об’єкт розташований в периферійній частині м.Покров. Район розташування характеризується в основному промисловою забудовою. Транспортна доступність – хороша.</w:t>
      </w:r>
      <w:bookmarkEnd w:id="0"/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Інформація про договори оренди об’єкта або його частини:</w:t>
      </w:r>
      <w:r>
        <w:rPr>
          <w:color w:val="000000"/>
          <w:sz w:val="22"/>
          <w:szCs w:val="22"/>
        </w:rPr>
        <w:t xml:space="preserve"> договори оренди відсутні.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shd w:val="clear" w:color="auto" w:fill="FFFFFF"/>
        <w:jc w:val="both"/>
        <w:rPr/>
      </w:pPr>
      <w:r>
        <w:rPr>
          <w:b/>
          <w:color w:val="000000"/>
          <w:spacing w:val="-1"/>
          <w:sz w:val="22"/>
          <w:szCs w:val="22"/>
        </w:rPr>
        <w:t>Відомості про земельну ділянку на якій розташований об’єкт приватизації</w:t>
      </w:r>
      <w:r>
        <w:rPr>
          <w:color w:val="000000"/>
          <w:spacing w:val="-1"/>
          <w:sz w:val="22"/>
          <w:szCs w:val="22"/>
        </w:rPr>
        <w:t>: земельна ділянка під об'єктом не виділена, кадастровий номер відсутній, категорія земель — землі промисловості, транспорту, зв'язку, енергетики, оборони та іншого призначення.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  <w:highlight w:val="yellow"/>
        </w:rPr>
      </w:pPr>
      <w:r>
        <w:rPr>
          <w:color w:val="000000"/>
          <w:spacing w:val="-1"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Покровське міське комунальне підприємство "Добробут", код за ЄДРПОУ 31881440; 53300, Дніпропетровська область, місто Покров, вул. Тітова, 1а; тел. +380566742540, e-mail: </w:t>
      </w:r>
      <w:hyperlink r:id="rId2">
        <w:r>
          <w:rPr>
            <w:rStyle w:val="Style8"/>
            <w:color w:val="000000"/>
            <w:sz w:val="22"/>
            <w:szCs w:val="22"/>
          </w:rPr>
          <w:t>gorswet@i.ua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План та фотографічне зображення об’єкта приватизації: </w:t>
      </w:r>
      <w:r>
        <w:rPr>
          <w:color w:val="000000"/>
          <w:sz w:val="22"/>
          <w:szCs w:val="22"/>
        </w:rPr>
        <w:t>додаються</w:t>
      </w:r>
      <w:r>
        <w:rPr>
          <w:i/>
          <w:color w:val="000000"/>
          <w:sz w:val="22"/>
          <w:szCs w:val="22"/>
        </w:rPr>
        <w:t>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з умовами.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26</w:t>
      </w:r>
      <w:r>
        <w:rPr>
          <w:b/>
          <w:color w:val="000000"/>
          <w:sz w:val="22"/>
          <w:szCs w:val="22"/>
        </w:rPr>
        <w:t xml:space="preserve"> квітня</w:t>
      </w:r>
      <w:r>
        <w:rPr>
          <w:b/>
          <w:sz w:val="22"/>
          <w:szCs w:val="22"/>
        </w:rPr>
        <w:t xml:space="preserve"> 2019 року</w:t>
      </w:r>
      <w:r>
        <w:rPr>
          <w:sz w:val="22"/>
          <w:szCs w:val="22"/>
        </w:rPr>
        <w:t xml:space="preserve">, час проведення визначається електронною торговою системою автоматично.           </w:t>
      </w:r>
    </w:p>
    <w:p>
      <w:pPr>
        <w:pStyle w:val="Normal"/>
        <w:jc w:val="both"/>
        <w:rPr>
          <w:sz w:val="22"/>
          <w:szCs w:val="22"/>
        </w:rPr>
      </w:pPr>
      <w:r>
        <w:rPr/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>- аукціону з умовами – 2 278,20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- 1 139,10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1 139,10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>- аукціону з умовами – 227,82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>- аукціону із зниженням стартової ціни – 113,91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113,91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реєстраційного  внеску становить 0,2 мінімальної заробітної плати станом на 1 січня поточного року</w:t>
      </w:r>
      <w:r>
        <w:rPr>
          <w:b/>
          <w:bCs/>
          <w:color w:val="000000"/>
          <w:sz w:val="22"/>
          <w:szCs w:val="22"/>
        </w:rPr>
        <w:t xml:space="preserve"> (834,60 грн.)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Додаткові умови продажу: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«Про приватизацію державного і комунального майна»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прийняття Об’єкта приватизації у триденний термін після сплати в повному обсязі ціни продажу об’єкта за актом прийому-передачі;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переможець аукціону зобов’язаний протягом одного місяця після укладення договору купівлі-продажу об’єкта приватизації звернутись до виконавчого комітету Покровської міської ради в порядку, визначеному Земельним кодексом України, із заявою про оформлення права користування земельною ділянкою, що знаходиться за адресою: Дніпропетровська обл., м.Покров, вул.Титова, 1а;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    • </w:t>
      </w:r>
      <w:r>
        <w:rPr>
          <w:color w:val="000000"/>
          <w:sz w:val="22"/>
          <w:szCs w:val="22"/>
        </w:rPr>
        <w:t>утримання в належному технічному стані конструктивних елементів об'єкту приватизації та прилеглої території, забезпечення дотримання санітарно-екологічних норм, протипожежних заходів та заходів цивільної безпеки, дотримання правил благоустрою.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/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  <w:lang w:val="ru-RU"/>
        </w:rPr>
      </w:pPr>
      <w:r>
        <w:rPr>
          <w:color w:val="000000"/>
          <w:sz w:val="22"/>
          <w:szCs w:val="22"/>
          <w:lang w:val="ru-RU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>у робочі дні з 8.00 до 17.00, п’ятниця – з 8.00 до 16.00, обідня перерва з 12.00 до 12.45 за місцезнаходженням:  53300,  вул. Титова, 1а, м. Покров, Дніпропетровська обл., Україна.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b/>
          <w:b/>
          <w:i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22.03.2019  р. № 93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42 сесії Покровської міської ради 7 кликання від 22.02.2019 №16»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UA-AR-P-2019-02-28-000008-1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21 календарний день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 умовами – </w:t>
      </w:r>
      <w:r>
        <w:rPr>
          <w:color w:val="000000"/>
          <w:sz w:val="22"/>
          <w:szCs w:val="22"/>
          <w:lang w:val="ru-RU"/>
        </w:rPr>
        <w:t>22,78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11,39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11,39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1</w:t>
      </w:r>
      <w:r>
        <w:rPr>
          <w:b/>
          <w:color w:val="000000"/>
          <w:sz w:val="22"/>
          <w:szCs w:val="22"/>
        </w:rPr>
        <w:t xml:space="preserve"> крок</w:t>
      </w:r>
      <w:r>
        <w:rPr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418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UkrainianMysl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sz w:val="22"/>
      <w:szCs w:val="22"/>
    </w:rPr>
  </w:style>
  <w:style w:type="character" w:styleId="ListLabel2">
    <w:name w:val="ListLabel 2"/>
    <w:qFormat/>
    <w:rPr>
      <w:sz w:val="22"/>
      <w:szCs w:val="22"/>
    </w:rPr>
  </w:style>
  <w:style w:type="character" w:styleId="ListLabel3">
    <w:name w:val="ListLabel 3"/>
    <w:qFormat/>
    <w:rPr>
      <w:color w:val="000000"/>
      <w:sz w:val="22"/>
      <w:szCs w:val="22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color w:val="000000"/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color w:val="000000"/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color w:val="000000"/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paragraph" w:styleId="31">
    <w:name w:val="Основной текст 3"/>
    <w:basedOn w:val="Normal"/>
    <w:qFormat/>
    <w:pPr>
      <w:jc w:val="both"/>
    </w:pPr>
    <w:rPr>
      <w:rFonts w:ascii="UkrainianMysl;Courier New" w:hAnsi="UkrainianMysl;Courier New" w:cs="UkrainianMysl;Courier New"/>
      <w:color w:val="000000"/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orswet@i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E0CA-11F0-472F-835D-9D58D9BD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LibreOffice/6.2.0.3$Linux_X86_64 LibreOffice_project/98c6a8a1c6c7b144ce3cc729e34964b47ce25d62</Application>
  <Pages>3</Pages>
  <Words>1088</Words>
  <Characters>7901</Characters>
  <CharactersWithSpaces>9001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2018-09-02T17:40:00Z</dcterms:created>
  <dc:creator>Admin</dc:creator>
  <dc:description/>
  <dc:language>ru-RU</dc:language>
  <cp:lastModifiedBy/>
  <cp:lastPrinted>2019-04-05T14:59:10Z</cp:lastPrinted>
  <dcterms:modified xsi:type="dcterms:W3CDTF">2019-04-05T15:01:13Z</dcterms:modified>
  <cp:revision>339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