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bidi w:val="0"/>
        <w:spacing w:before="0" w:after="0"/>
        <w:jc w:val="right"/>
        <w:rPr/>
      </w:pPr>
      <w:r>
        <w:rPr>
          <w:b/>
          <w:bCs/>
          <w:sz w:val="28"/>
          <w:szCs w:val="28"/>
          <w:lang w:val="uk-UA"/>
        </w:rPr>
        <w:t>копія</w:t>
      </w:r>
      <w:r>
        <w:rPr>
          <w:lang w:val="uk-UA"/>
        </w:rPr>
        <w:t xml:space="preserve">                                                                                                            </w:t>
      </w:r>
      <w:r>
        <w:rPr>
          <w:b/>
          <w:bCs/>
          <w:lang w:val="uk-UA"/>
        </w:rPr>
        <w:t xml:space="preserve">                                    </w:t>
      </w:r>
    </w:p>
    <w:p>
      <w:pPr>
        <w:pStyle w:val="Style15"/>
        <w:bidi w:val="0"/>
        <w:spacing w:before="0" w:after="0"/>
        <w:jc w:val="center"/>
        <w:rPr/>
      </w:pPr>
      <w:r>
        <w:drawing>
          <wp:anchor behindDoc="1" distT="0" distB="0" distL="114935" distR="114935" simplePos="0" locked="0" layoutInCell="0" allowOverlap="1" relativeHeight="2">
            <wp:simplePos x="0" y="0"/>
            <wp:positionH relativeFrom="column">
              <wp:posOffset>2844800</wp:posOffset>
            </wp:positionH>
            <wp:positionV relativeFrom="paragraph">
              <wp:posOffset>-623570</wp:posOffset>
            </wp:positionV>
            <wp:extent cx="426720" cy="607060"/>
            <wp:effectExtent l="0" t="0" r="0" b="0"/>
            <wp:wrapTopAndBottom/>
            <wp:docPr id="1" name="Зображення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2" descr=""/>
                    <pic:cNvPicPr>
                      <a:picLocks noChangeAspect="1" noChangeArrowheads="1"/>
                    </pic:cNvPicPr>
                  </pic:nvPicPr>
                  <pic:blipFill>
                    <a:blip r:embed="rId2"/>
                    <a:stretch>
                      <a:fillRect/>
                    </a:stretch>
                  </pic:blipFill>
                  <pic:spPr bwMode="auto">
                    <a:xfrm>
                      <a:off x="0" y="0"/>
                      <a:ext cx="426720" cy="607060"/>
                    </a:xfrm>
                    <a:prstGeom prst="rect">
                      <a:avLst/>
                    </a:prstGeom>
                  </pic:spPr>
                </pic:pic>
              </a:graphicData>
            </a:graphic>
          </wp:anchor>
        </w:drawing>
      </w:r>
      <w:r>
        <w:rPr>
          <w:rFonts w:cs="Times New Roman"/>
          <w:b/>
          <w:bCs/>
          <w:sz w:val="28"/>
          <w:szCs w:val="28"/>
          <w:lang w:val="uk-UA"/>
        </w:rPr>
        <w:t>П</w:t>
      </w:r>
      <w:r>
        <w:rPr>
          <w:rFonts w:cs="Times New Roman"/>
          <w:b/>
          <w:bCs/>
          <w:sz w:val="28"/>
          <w:szCs w:val="28"/>
          <w:lang w:val="uk-UA"/>
        </w:rPr>
        <w:t>ОКРОВСЬКА МІСЬКА РАДА</w:t>
      </w:r>
    </w:p>
    <w:p>
      <w:pPr>
        <w:pStyle w:val="Style15"/>
        <w:bidi w:val="0"/>
        <w:spacing w:before="0" w:after="0"/>
        <w:jc w:val="center"/>
        <w:rPr/>
      </w:pPr>
      <w:r>
        <w:rPr>
          <w:rFonts w:cs="Times New Roman"/>
          <w:b/>
          <w:bCs/>
          <w:sz w:val="28"/>
          <w:szCs w:val="28"/>
          <w:lang w:val="uk-UA"/>
        </w:rPr>
        <w:t>ДНІПРОПЕТРОВСЬКОЇ ОБЛАСТІ</w:t>
      </w:r>
    </w:p>
    <w:p>
      <w:pPr>
        <w:pStyle w:val="Style15"/>
        <w:bidi w:val="0"/>
        <w:spacing w:before="0" w:after="0"/>
        <w:jc w:val="center"/>
        <w:rPr/>
      </w:pPr>
      <w:r>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71120</wp:posOffset>
                </wp:positionV>
                <wp:extent cx="6126480" cy="20955"/>
                <wp:effectExtent l="0" t="0" r="0" b="0"/>
                <wp:wrapNone/>
                <wp:docPr id="2" name="Фігура1"/>
                <a:graphic xmlns:a="http://schemas.openxmlformats.org/drawingml/2006/main">
                  <a:graphicData uri="http://schemas.microsoft.com/office/word/2010/wordprocessingShape">
                    <wps:wsp>
                      <wps:cNvSpPr/>
                      <wps:spPr>
                        <a:xfrm flipV="1">
                          <a:off x="0" y="0"/>
                          <a:ext cx="6125760" cy="900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3pt,5.6pt" to="483.6pt,6.25pt" ID="Фігура1" stroked="t" style="position:absolute;flip:y">
                <v:stroke color="black" weight="17640" joinstyle="round" endcap="flat"/>
                <v:fill o:detectmouseclick="t" on="false"/>
                <w10:wrap type="none"/>
              </v:line>
            </w:pict>
          </mc:Fallback>
        </mc:AlternateContent>
      </w:r>
    </w:p>
    <w:p>
      <w:pPr>
        <w:pStyle w:val="Style15"/>
        <w:bidi w:val="0"/>
        <w:spacing w:before="0" w:after="0"/>
        <w:jc w:val="center"/>
        <w:rPr/>
      </w:pPr>
      <w:r>
        <w:rPr>
          <w:rFonts w:cs="Times New Roman"/>
          <w:b/>
          <w:sz w:val="28"/>
          <w:szCs w:val="28"/>
          <w:lang w:val="uk-UA"/>
        </w:rPr>
        <w:t xml:space="preserve"> </w:t>
      </w:r>
      <w:r>
        <w:rPr>
          <w:rFonts w:cs="Times New Roman"/>
          <w:b/>
          <w:sz w:val="28"/>
          <w:szCs w:val="28"/>
          <w:lang w:val="uk-UA"/>
        </w:rPr>
        <w:t>РІШЕННЯ</w:t>
      </w:r>
    </w:p>
    <w:p>
      <w:pPr>
        <w:pStyle w:val="BodyText2"/>
        <w:ind w:left="0" w:right="0" w:hanging="0"/>
        <w:jc w:val="both"/>
        <w:rPr/>
      </w:pPr>
      <w:r>
        <w:rPr>
          <w:rFonts w:eastAsia="Andale Sans UI;Arial Unicode MS" w:cs="Tahoma"/>
          <w:color w:val="auto"/>
          <w:kern w:val="2"/>
          <w:sz w:val="28"/>
          <w:szCs w:val="28"/>
          <w:lang w:val="zxx" w:eastAsia="zxx" w:bidi="zxx"/>
        </w:rPr>
        <w:t>30. 06. 2021</w:t>
        <w:tab/>
        <w:tab/>
        <w:tab/>
      </w:r>
      <w:r>
        <w:rPr>
          <w:sz w:val="28"/>
          <w:szCs w:val="28"/>
        </w:rPr>
        <w:t xml:space="preserve">                    </w:t>
      </w:r>
      <w:r>
        <w:rPr>
          <w:sz w:val="28"/>
          <w:szCs w:val="28"/>
          <w:lang w:val="uk-UA"/>
        </w:rPr>
        <w:t>м.Покров</w:t>
      </w:r>
      <w:r>
        <w:rPr>
          <w:sz w:val="28"/>
          <w:szCs w:val="28"/>
        </w:rPr>
        <w:t xml:space="preserve">                                 </w:t>
        <w:tab/>
        <w:tab/>
        <w:t xml:space="preserve">     № </w:t>
      </w:r>
      <w:r>
        <w:rPr>
          <w:rFonts w:eastAsia="Andale Sans UI;Arial Unicode MS" w:cs="Tahoma"/>
          <w:color w:val="auto"/>
          <w:kern w:val="2"/>
          <w:sz w:val="28"/>
          <w:szCs w:val="28"/>
          <w:lang w:val="zxx" w:eastAsia="zxx" w:bidi="zxx"/>
        </w:rPr>
        <w:t>3</w:t>
      </w:r>
    </w:p>
    <w:p>
      <w:pPr>
        <w:pStyle w:val="BodyText2"/>
        <w:bidi w:val="0"/>
        <w:spacing w:before="0" w:after="0"/>
        <w:ind w:left="0" w:right="0" w:hanging="0"/>
        <w:jc w:val="both"/>
        <w:rPr/>
      </w:pPr>
      <w:r>
        <w:rPr>
          <w:b/>
          <w:bCs/>
          <w:sz w:val="28"/>
          <w:szCs w:val="28"/>
          <w:lang w:val="uk-UA"/>
        </w:rPr>
        <w:t xml:space="preserve">                                                  </w:t>
      </w:r>
    </w:p>
    <w:p>
      <w:pPr>
        <w:pStyle w:val="BodyText2"/>
        <w:bidi w:val="0"/>
        <w:spacing w:before="0" w:after="0"/>
        <w:ind w:left="0" w:right="0" w:hanging="0"/>
        <w:jc w:val="center"/>
        <w:rPr/>
      </w:pPr>
      <w:r>
        <w:rPr>
          <w:b w:val="false"/>
          <w:bCs w:val="false"/>
          <w:sz w:val="28"/>
          <w:szCs w:val="28"/>
          <w:lang w:val="uk-UA"/>
        </w:rPr>
        <w:t xml:space="preserve">  </w:t>
      </w:r>
      <w:r>
        <w:rPr>
          <w:b w:val="false"/>
          <w:bCs w:val="false"/>
          <w:sz w:val="28"/>
          <w:szCs w:val="28"/>
          <w:lang w:val="uk-UA"/>
        </w:rPr>
        <w:t>(9 сесія 8 скликання)</w:t>
      </w:r>
    </w:p>
    <w:p>
      <w:pPr>
        <w:pStyle w:val="Normal"/>
        <w:spacing w:lineRule="auto" w:line="240" w:before="0" w:after="0"/>
        <w:jc w:val="center"/>
        <w:rPr>
          <w:rFonts w:ascii="Times New Roman" w:hAnsi="Times New Roman"/>
          <w:sz w:val="24"/>
          <w:szCs w:val="24"/>
        </w:rPr>
      </w:pPr>
      <w:r>
        <w:rPr>
          <w:sz w:val="24"/>
          <w:szCs w:val="24"/>
        </w:rPr>
      </w:r>
    </w:p>
    <w:p>
      <w:pPr>
        <w:pStyle w:val="Normal"/>
        <w:spacing w:lineRule="auto" w:line="240" w:before="0" w:after="0"/>
        <w:jc w:val="both"/>
        <w:rPr/>
      </w:pPr>
      <w:r>
        <w:rPr>
          <w:sz w:val="28"/>
          <w:szCs w:val="28"/>
        </w:rPr>
        <w:t xml:space="preserve">Про встановлення податку на нерухоме </w:t>
      </w:r>
    </w:p>
    <w:p>
      <w:pPr>
        <w:pStyle w:val="Normal"/>
        <w:spacing w:lineRule="auto" w:line="240" w:before="0" w:after="0"/>
        <w:jc w:val="both"/>
        <w:rPr/>
      </w:pPr>
      <w:r>
        <w:rPr>
          <w:sz w:val="28"/>
          <w:szCs w:val="28"/>
        </w:rPr>
        <w:t xml:space="preserve">майно, відмінне від земельної ділянки </w:t>
      </w:r>
    </w:p>
    <w:p>
      <w:pPr>
        <w:pStyle w:val="Normal"/>
        <w:spacing w:lineRule="auto" w:line="240" w:before="0" w:after="0"/>
        <w:ind w:right="5528" w:hanging="0"/>
        <w:jc w:val="both"/>
        <w:rPr>
          <w:rFonts w:ascii="Times New Roman" w:hAnsi="Times New Roman"/>
          <w:sz w:val="28"/>
          <w:szCs w:val="28"/>
        </w:rPr>
      </w:pPr>
      <w:r>
        <w:rPr>
          <w:sz w:val="28"/>
          <w:szCs w:val="28"/>
        </w:rPr>
      </w:r>
    </w:p>
    <w:p>
      <w:pPr>
        <w:pStyle w:val="Normal"/>
        <w:spacing w:lineRule="auto" w:line="240" w:before="0" w:after="0"/>
        <w:ind w:firstLine="709"/>
        <w:jc w:val="both"/>
        <w:rPr/>
      </w:pPr>
      <w:r>
        <w:rPr>
          <w:sz w:val="28"/>
          <w:szCs w:val="28"/>
        </w:rPr>
        <w:t xml:space="preserve">З метою наповнення дохідної частини міського бюджету, керуючись статтями 12, 266 Податкового кодексу України, пунктом 24 </w:t>
      </w:r>
      <w:r>
        <w:rPr>
          <w:rFonts w:eastAsia="Andale Sans UI;Arial Unicode MS" w:cs="Tahoma"/>
          <w:color w:val="auto"/>
          <w:kern w:val="2"/>
          <w:sz w:val="28"/>
          <w:szCs w:val="28"/>
          <w:lang w:val="zxx" w:eastAsia="zxx" w:bidi="zxx"/>
        </w:rPr>
        <w:t>частини</w:t>
      </w:r>
      <w:r>
        <w:rPr>
          <w:sz w:val="28"/>
          <w:szCs w:val="28"/>
        </w:rPr>
        <w:t xml:space="preserve"> 1 статті 26 Закону України «Про місцеве самоврядування в Україні», міська рада</w:t>
      </w:r>
    </w:p>
    <w:p>
      <w:pPr>
        <w:pStyle w:val="Normal"/>
        <w:spacing w:lineRule="auto" w:line="240" w:before="0" w:after="0"/>
        <w:rPr>
          <w:rFonts w:ascii="Times New Roman" w:hAnsi="Times New Roman"/>
          <w:sz w:val="28"/>
          <w:szCs w:val="28"/>
        </w:rPr>
      </w:pPr>
      <w:r>
        <w:rPr>
          <w:sz w:val="28"/>
          <w:szCs w:val="28"/>
        </w:rPr>
      </w:r>
    </w:p>
    <w:p>
      <w:pPr>
        <w:pStyle w:val="Normal"/>
        <w:spacing w:lineRule="auto" w:line="240" w:before="0" w:after="0"/>
        <w:rPr/>
      </w:pPr>
      <w:r>
        <w:rPr>
          <w:b/>
          <w:sz w:val="28"/>
          <w:szCs w:val="28"/>
        </w:rPr>
        <w:t>ВИРІШИЛА:</w:t>
      </w:r>
    </w:p>
    <w:p>
      <w:pPr>
        <w:pStyle w:val="Normal"/>
        <w:spacing w:lineRule="auto" w:line="240" w:before="0" w:after="0"/>
        <w:jc w:val="center"/>
        <w:rPr>
          <w:rFonts w:ascii="Times New Roman" w:hAnsi="Times New Roman"/>
          <w:sz w:val="28"/>
          <w:szCs w:val="28"/>
        </w:rPr>
      </w:pPr>
      <w:r>
        <w:rPr>
          <w:sz w:val="28"/>
          <w:szCs w:val="28"/>
        </w:rPr>
      </w:r>
    </w:p>
    <w:p>
      <w:pPr>
        <w:pStyle w:val="StyleZakonu"/>
        <w:tabs>
          <w:tab w:val="clear" w:pos="706"/>
          <w:tab w:val="left" w:pos="900" w:leader="none"/>
        </w:tabs>
        <w:spacing w:lineRule="auto" w:line="240" w:before="0" w:after="0"/>
        <w:ind w:left="0" w:right="0" w:firstLine="720"/>
        <w:rPr/>
      </w:pPr>
      <w:r>
        <w:rPr>
          <w:sz w:val="28"/>
          <w:szCs w:val="28"/>
        </w:rPr>
        <w:t>1.</w:t>
      </w:r>
      <w:r>
        <w:rPr>
          <w:sz w:val="28"/>
          <w:szCs w:val="28"/>
          <w:lang w:val="uk-UA" w:eastAsia="zxx" w:bidi="zxx"/>
        </w:rPr>
        <w:t>Встановити</w:t>
      </w:r>
      <w:r>
        <w:rPr>
          <w:sz w:val="28"/>
          <w:szCs w:val="28"/>
        </w:rPr>
        <w:t xml:space="preserve"> з 01 січня 2022 року на території Покровської міської територіальної громади Дніпропетровської області:</w:t>
      </w:r>
    </w:p>
    <w:p>
      <w:pPr>
        <w:pStyle w:val="StyleZakonu"/>
        <w:widowControl w:val="false"/>
        <w:tabs>
          <w:tab w:val="clear" w:pos="706"/>
          <w:tab w:val="left" w:pos="0" w:leader="none"/>
        </w:tabs>
        <w:suppressAutoHyphens w:val="true"/>
        <w:overflowPunct w:val="true"/>
        <w:bidi w:val="0"/>
        <w:spacing w:lineRule="auto" w:line="240" w:before="0" w:after="0"/>
        <w:ind w:left="0" w:right="0" w:firstLine="567"/>
        <w:jc w:val="both"/>
        <w:rPr/>
      </w:pPr>
      <w:r>
        <w:rPr>
          <w:sz w:val="28"/>
          <w:szCs w:val="28"/>
        </w:rPr>
        <w:t>1.1 ставки податку на нерухоме майно, відмінне від земельної ділянки, згідно з додатком 1;</w:t>
      </w:r>
    </w:p>
    <w:p>
      <w:pPr>
        <w:pStyle w:val="StyleZakonu"/>
        <w:widowControl w:val="false"/>
        <w:tabs>
          <w:tab w:val="clear" w:pos="706"/>
          <w:tab w:val="left" w:pos="0" w:leader="none"/>
        </w:tabs>
        <w:suppressAutoHyphens w:val="true"/>
        <w:overflowPunct w:val="true"/>
        <w:bidi w:val="0"/>
        <w:spacing w:lineRule="auto" w:line="240" w:before="0" w:after="0"/>
        <w:ind w:left="0" w:right="0" w:firstLine="567"/>
        <w:jc w:val="both"/>
        <w:rPr/>
      </w:pPr>
      <w:r>
        <w:rPr>
          <w:sz w:val="28"/>
          <w:szCs w:val="28"/>
        </w:rPr>
        <w:t>1.2 пільги для фізичних та юридичних осіб, надані відповідно до підпункту 266.4.2 пункту 266.4 статті 266 Податкового кодексу України, для об’єктів нерухомості за переліком згідно з додатком 2.</w:t>
      </w:r>
    </w:p>
    <w:p>
      <w:pPr>
        <w:pStyle w:val="Normal"/>
        <w:spacing w:lineRule="auto" w:line="240" w:before="0" w:after="0"/>
        <w:ind w:firstLine="708"/>
        <w:rPr/>
      </w:pPr>
      <w:r>
        <w:rPr>
          <w:sz w:val="28"/>
          <w:szCs w:val="28"/>
        </w:rPr>
        <w:t>2.Визначити, що:</w:t>
      </w:r>
    </w:p>
    <w:p>
      <w:pPr>
        <w:pStyle w:val="Normal"/>
        <w:spacing w:lineRule="auto" w:line="240" w:before="0" w:after="0"/>
        <w:ind w:firstLine="708"/>
        <w:jc w:val="both"/>
        <w:rPr/>
      </w:pPr>
      <w:r>
        <w:rPr>
          <w:sz w:val="28"/>
          <w:szCs w:val="28"/>
        </w:rPr>
        <w:t>2.1 об’єктом оподаткування є об’єкт нерухомості, в тому числі його частка. Поняття об’єктів житлової нерухомості вживаються в значенні типів будівель, віднесених до житлового фонду, визначеному статтею 14.1.129 Податкового кодексу України. Поняття об’єктів нежитлової нерухомості вживаються в значенні типів будівель, віднесених до об’єктів нежитлової нерухомості, визначеному статтею 14.1.129</w:t>
      </w:r>
      <w:r>
        <w:rPr>
          <w:sz w:val="28"/>
          <w:szCs w:val="28"/>
          <w:vertAlign w:val="superscript"/>
        </w:rPr>
        <w:t>1</w:t>
      </w:r>
      <w:r>
        <w:rPr>
          <w:sz w:val="28"/>
          <w:szCs w:val="28"/>
        </w:rPr>
        <w:t xml:space="preserve"> Податкового кодексу України. Не є об’єктами оподаткування об’єкти, перелічені в статті 266.2.2 Податкового кодексу України;</w:t>
      </w:r>
    </w:p>
    <w:p>
      <w:pPr>
        <w:pStyle w:val="Normal"/>
        <w:spacing w:lineRule="auto" w:line="240" w:before="0" w:after="0"/>
        <w:ind w:firstLine="708"/>
        <w:jc w:val="both"/>
        <w:rPr/>
      </w:pPr>
      <w:r>
        <w:rPr>
          <w:sz w:val="28"/>
          <w:szCs w:val="28"/>
        </w:rPr>
        <w:t xml:space="preserve">2.2 платниками податку на нерухомість є фізичні та юридичні особи, в тому числі нерезиденти, які є власниками об’єктів </w:t>
      </w:r>
      <w:r>
        <w:rPr>
          <w:sz w:val="28"/>
          <w:szCs w:val="28"/>
          <w:lang w:eastAsia="uk-UA"/>
        </w:rPr>
        <w:t>нерухомості</w:t>
      </w:r>
      <w:r>
        <w:rPr>
          <w:sz w:val="28"/>
          <w:szCs w:val="28"/>
        </w:rPr>
        <w:t xml:space="preserve">. В разі перебування об’єктів нерухомості у спільній частковій або спільній сумісній власності кількох осіб: </w:t>
      </w:r>
    </w:p>
    <w:p>
      <w:pPr>
        <w:pStyle w:val="Normal"/>
        <w:spacing w:lineRule="auto" w:line="240" w:before="0" w:after="0"/>
        <w:ind w:firstLine="360"/>
        <w:jc w:val="both"/>
        <w:rPr/>
      </w:pPr>
      <w:r>
        <w:rPr>
          <w:sz w:val="28"/>
          <w:szCs w:val="28"/>
        </w:rPr>
        <w:t xml:space="preserve">а) якщо об’єкт нерухомості перебуває у спільній частковій власності кількох осіб, платником податку є кожна з цих осіб за належну їй частку; </w:t>
      </w:r>
    </w:p>
    <w:p>
      <w:pPr>
        <w:pStyle w:val="Normal"/>
        <w:spacing w:lineRule="auto" w:line="240" w:before="0" w:after="0"/>
        <w:ind w:firstLine="360"/>
        <w:jc w:val="both"/>
        <w:rPr/>
      </w:pPr>
      <w:bookmarkStart w:id="0" w:name="__DdeLink__7694_3519978329"/>
      <w:bookmarkEnd w:id="0"/>
      <w:r>
        <w:rPr>
          <w:sz w:val="28"/>
          <w:szCs w:val="28"/>
        </w:rPr>
        <w:t>б) якщо об’єкт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pPr>
        <w:pStyle w:val="Normal"/>
        <w:spacing w:lineRule="auto" w:line="240" w:before="0" w:after="0"/>
        <w:ind w:firstLine="360"/>
        <w:jc w:val="both"/>
        <w:rPr/>
      </w:pPr>
      <w:r>
        <w:rPr>
          <w:sz w:val="28"/>
          <w:szCs w:val="28"/>
        </w:rPr>
        <w:t>в) якщо об’єкт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pPr>
        <w:pStyle w:val="Normal"/>
        <w:spacing w:lineRule="auto" w:line="240" w:before="0" w:after="0"/>
        <w:ind w:firstLine="720"/>
        <w:jc w:val="both"/>
        <w:rPr/>
      </w:pPr>
      <w:r>
        <w:rPr>
          <w:sz w:val="28"/>
          <w:szCs w:val="28"/>
        </w:rPr>
        <w:t>2.3 базою оподаткування є загальна площа об’єкта нерухомості, в тому числі його часток. База оподаткування об’єктів нерухомості, які перебувають у власності фізичних осіб, обчислюється контролюючим органом. База оподаткування об’єктів нерухомості, що перебувають у власності юридичних осіб, обчислюється такими особами самостійно;</w:t>
      </w:r>
    </w:p>
    <w:p>
      <w:pPr>
        <w:pStyle w:val="Normal"/>
        <w:spacing w:lineRule="auto" w:line="240" w:before="0" w:after="0"/>
        <w:ind w:firstLine="720"/>
        <w:jc w:val="both"/>
        <w:rPr/>
      </w:pPr>
      <w:r>
        <w:rPr>
          <w:sz w:val="28"/>
          <w:szCs w:val="28"/>
        </w:rPr>
        <w:t xml:space="preserve">2.4 податок сплачується до міського бюджету у разі розташування об’єкта/об’єктів оподаткування на території Покровської міської територіальної громади Дніпропетровської області. </w:t>
      </w:r>
    </w:p>
    <w:p>
      <w:pPr>
        <w:pStyle w:val="StyleZakonu"/>
        <w:widowControl w:val="false"/>
        <w:suppressAutoHyphens w:val="true"/>
        <w:overflowPunct w:val="true"/>
        <w:bidi w:val="0"/>
        <w:spacing w:lineRule="auto" w:line="240" w:before="0" w:after="0"/>
        <w:ind w:left="0" w:right="0" w:firstLine="567"/>
        <w:jc w:val="both"/>
        <w:rPr/>
      </w:pPr>
      <w:r>
        <w:rPr>
          <w:sz w:val="28"/>
          <w:szCs w:val="28"/>
        </w:rPr>
        <w:t>3.Встановити, що порядок обчислення податку на нерухомість (у т.ч. у разі зміни власника), податковий період, строк та порядок сплати податку визначаються Податковим Кодексом України.</w:t>
      </w:r>
    </w:p>
    <w:p>
      <w:pPr>
        <w:pStyle w:val="StyleZakonu"/>
        <w:widowControl w:val="false"/>
        <w:suppressAutoHyphens w:val="true"/>
        <w:overflowPunct w:val="true"/>
        <w:bidi w:val="0"/>
        <w:spacing w:lineRule="auto" w:line="240" w:before="0" w:after="0"/>
        <w:ind w:left="0" w:right="0" w:firstLine="567"/>
        <w:jc w:val="both"/>
        <w:rPr/>
      </w:pPr>
      <w:r>
        <w:rPr>
          <w:sz w:val="28"/>
          <w:szCs w:val="28"/>
        </w:rPr>
        <w:t>4.Зобов’язати начальника Управління праці та соціального захисту населення Ігнатюк Т.М. один раз на рік у 15-денний строк після закінчення податкового (звітного) року подавати контролюючим органам електронні відомості щодо перебування на обліку управління осіб,  зазначених у додатку 2 до цього рішення категорій, для застосування пільги по сплаті податку, станом на перше число відповідного періоду.</w:t>
      </w:r>
    </w:p>
    <w:p>
      <w:pPr>
        <w:pStyle w:val="StyleZakonu"/>
        <w:widowControl w:val="false"/>
        <w:suppressAutoHyphens w:val="true"/>
        <w:overflowPunct w:val="true"/>
        <w:bidi w:val="0"/>
        <w:spacing w:lineRule="auto" w:line="240" w:before="0" w:after="0"/>
        <w:ind w:left="0" w:right="0" w:firstLine="567"/>
        <w:jc w:val="both"/>
        <w:rPr/>
      </w:pPr>
      <w:r>
        <w:rPr>
          <w:sz w:val="28"/>
          <w:szCs w:val="28"/>
          <w:lang w:val="ru-RU"/>
        </w:rPr>
        <w:t>5.</w:t>
      </w:r>
      <w:r>
        <w:rPr>
          <w:sz w:val="28"/>
          <w:szCs w:val="28"/>
        </w:rPr>
        <w:t>Оприлюднити рішення в засобах масової інформації або в інший можливий спосіб.</w:t>
      </w:r>
    </w:p>
    <w:p>
      <w:pPr>
        <w:pStyle w:val="Normal"/>
        <w:widowControl w:val="false"/>
        <w:suppressAutoHyphens w:val="true"/>
        <w:overflowPunct w:val="true"/>
        <w:bidi w:val="0"/>
        <w:spacing w:lineRule="auto" w:line="240" w:before="0" w:after="0"/>
        <w:ind w:left="0" w:right="0" w:firstLine="567"/>
        <w:jc w:val="both"/>
        <w:rPr/>
      </w:pPr>
      <w:r>
        <w:rPr>
          <w:sz w:val="28"/>
          <w:szCs w:val="28"/>
        </w:rPr>
        <w:t>6.Рішення набирає чинності з 01 січня 2022 року.</w:t>
      </w:r>
    </w:p>
    <w:p>
      <w:pPr>
        <w:pStyle w:val="StyleZakonu"/>
        <w:widowControl w:val="false"/>
        <w:suppressAutoHyphens w:val="true"/>
        <w:overflowPunct w:val="true"/>
        <w:bidi w:val="0"/>
        <w:spacing w:lineRule="auto" w:line="240" w:before="0" w:after="0"/>
        <w:ind w:left="0" w:right="0" w:firstLine="567"/>
        <w:jc w:val="both"/>
        <w:rPr/>
      </w:pPr>
      <w:r>
        <w:rPr>
          <w:sz w:val="28"/>
          <w:szCs w:val="28"/>
          <w:lang w:val="ru-RU"/>
        </w:rPr>
        <w:t>7</w:t>
      </w:r>
      <w:r>
        <w:rPr>
          <w:sz w:val="28"/>
          <w:szCs w:val="28"/>
        </w:rPr>
        <w:t>.Вважати таким, що припиня</w:t>
      </w:r>
      <w:r>
        <w:rPr>
          <w:sz w:val="28"/>
          <w:szCs w:val="28"/>
          <w:lang w:val="uk-UA"/>
        </w:rPr>
        <w:t>є</w:t>
      </w:r>
      <w:r>
        <w:rPr>
          <w:sz w:val="28"/>
          <w:szCs w:val="28"/>
        </w:rPr>
        <w:t xml:space="preserve"> дію з 01</w:t>
      </w:r>
      <w:r>
        <w:rPr>
          <w:sz w:val="28"/>
          <w:szCs w:val="28"/>
          <w:lang w:val="ru-RU"/>
        </w:rPr>
        <w:t xml:space="preserve"> </w:t>
      </w:r>
      <w:r>
        <w:rPr>
          <w:sz w:val="28"/>
          <w:szCs w:val="28"/>
        </w:rPr>
        <w:t>січня 2022</w:t>
      </w:r>
      <w:r>
        <w:rPr>
          <w:sz w:val="28"/>
          <w:szCs w:val="28"/>
          <w:lang w:val="ru-RU"/>
        </w:rPr>
        <w:t xml:space="preserve"> </w:t>
      </w:r>
      <w:r>
        <w:rPr>
          <w:sz w:val="28"/>
          <w:szCs w:val="28"/>
        </w:rPr>
        <w:t xml:space="preserve">року рішення </w:t>
      </w:r>
      <w:r>
        <w:rPr>
          <w:rFonts w:eastAsia="Times New Roman" w:cs="Times New Roman"/>
          <w:color w:val="auto"/>
          <w:kern w:val="2"/>
          <w:sz w:val="28"/>
          <w:szCs w:val="28"/>
          <w:lang w:val="zxx" w:eastAsia="zxx" w:bidi="zxx"/>
        </w:rPr>
        <w:t>43</w:t>
      </w:r>
      <w:r>
        <w:rPr>
          <w:sz w:val="28"/>
          <w:szCs w:val="28"/>
        </w:rPr>
        <w:t xml:space="preserve"> сесії міської ради 7 скликання від </w:t>
      </w:r>
      <w:r>
        <w:rPr>
          <w:rFonts w:eastAsia="Times New Roman" w:cs="Times New Roman"/>
          <w:color w:val="auto"/>
          <w:kern w:val="2"/>
          <w:sz w:val="28"/>
          <w:szCs w:val="28"/>
          <w:lang w:val="zxx" w:eastAsia="zxx" w:bidi="zxx"/>
        </w:rPr>
        <w:t>29</w:t>
      </w:r>
      <w:r>
        <w:rPr>
          <w:sz w:val="28"/>
          <w:szCs w:val="28"/>
        </w:rPr>
        <w:t xml:space="preserve">.03.2019 № </w:t>
      </w:r>
      <w:r>
        <w:rPr>
          <w:sz w:val="28"/>
          <w:szCs w:val="28"/>
          <w:lang w:val="ru-RU"/>
        </w:rPr>
        <w:t>12</w:t>
      </w:r>
      <w:r>
        <w:rPr>
          <w:sz w:val="28"/>
          <w:szCs w:val="28"/>
        </w:rPr>
        <w:t xml:space="preserve"> «Про встановлення податку на нерухоме майно, відмінне від земельної ділянки» (</w:t>
      </w:r>
      <w:r>
        <w:rPr>
          <w:sz w:val="28"/>
          <w:szCs w:val="28"/>
          <w:lang w:val="uk-UA"/>
        </w:rPr>
        <w:t>із змінами).</w:t>
      </w:r>
    </w:p>
    <w:p>
      <w:pPr>
        <w:pStyle w:val="Normal"/>
        <w:widowControl w:val="false"/>
        <w:suppressAutoHyphens w:val="true"/>
        <w:overflowPunct w:val="true"/>
        <w:bidi w:val="0"/>
        <w:spacing w:lineRule="auto" w:line="240" w:before="0" w:after="0"/>
        <w:ind w:left="0" w:right="0" w:firstLine="567"/>
        <w:jc w:val="both"/>
        <w:rPr/>
      </w:pPr>
      <w:r>
        <w:rPr>
          <w:sz w:val="28"/>
          <w:szCs w:val="28"/>
        </w:rPr>
        <w:t xml:space="preserve">8.Контроль за виконанням цього рішення покласти на заступника міського голови Чистякова О.Г. та на </w:t>
      </w:r>
      <w:r>
        <w:rPr>
          <w:color w:val="000000"/>
          <w:sz w:val="28"/>
          <w:szCs w:val="28"/>
        </w:rPr>
        <w:t>постійну комісію з питань соціально-економічного розвитку, планування, бюджету, фінансів,  реалізації державної регуляторної політики (Відяєва Г.М.).</w:t>
      </w:r>
    </w:p>
    <w:p>
      <w:pPr>
        <w:pStyle w:val="Normal"/>
        <w:spacing w:lineRule="auto" w:line="240" w:before="0" w:after="0"/>
        <w:ind w:firstLine="708"/>
        <w:jc w:val="both"/>
        <w:rPr>
          <w:rFonts w:ascii="Times New Roman" w:hAnsi="Times New Roman"/>
          <w:color w:val="000000"/>
          <w:sz w:val="28"/>
          <w:szCs w:val="28"/>
        </w:rPr>
      </w:pPr>
      <w:r>
        <w:rPr>
          <w:color w:val="000000"/>
          <w:sz w:val="28"/>
          <w:szCs w:val="28"/>
        </w:rPr>
      </w:r>
    </w:p>
    <w:p>
      <w:pPr>
        <w:pStyle w:val="Normal"/>
        <w:spacing w:lineRule="auto" w:line="240" w:before="0" w:after="0"/>
        <w:ind w:firstLine="708"/>
        <w:jc w:val="both"/>
        <w:rPr>
          <w:rFonts w:ascii="Times New Roman" w:hAnsi="Times New Roman"/>
          <w:color w:val="000000"/>
          <w:sz w:val="28"/>
          <w:szCs w:val="28"/>
        </w:rPr>
      </w:pPr>
      <w:r>
        <w:rPr>
          <w:color w:val="000000"/>
          <w:sz w:val="28"/>
          <w:szCs w:val="28"/>
        </w:rPr>
      </w:r>
    </w:p>
    <w:p>
      <w:pPr>
        <w:pStyle w:val="Normal"/>
        <w:spacing w:lineRule="auto" w:line="240" w:before="0" w:after="0"/>
        <w:ind w:firstLine="708"/>
        <w:jc w:val="both"/>
        <w:rPr>
          <w:rFonts w:ascii="Times New Roman" w:hAnsi="Times New Roman"/>
          <w:color w:val="000000"/>
          <w:sz w:val="28"/>
          <w:szCs w:val="28"/>
        </w:rPr>
      </w:pPr>
      <w:r>
        <w:rPr>
          <w:color w:val="000000"/>
          <w:sz w:val="28"/>
          <w:szCs w:val="28"/>
        </w:rPr>
      </w:r>
    </w:p>
    <w:p>
      <w:pPr>
        <w:pStyle w:val="Normal"/>
        <w:spacing w:lineRule="auto" w:line="240" w:before="0" w:after="0"/>
        <w:jc w:val="both"/>
        <w:rPr>
          <w:sz w:val="28"/>
          <w:szCs w:val="28"/>
        </w:rPr>
      </w:pPr>
      <w:r>
        <w:rPr>
          <w:rStyle w:val="Tlidtranslation"/>
          <w:rFonts w:eastAsia="Times New Roman"/>
          <w:b w:val="false"/>
          <w:i w:val="false"/>
          <w:caps w:val="false"/>
          <w:smallCaps w:val="false"/>
          <w:spacing w:val="0"/>
          <w:sz w:val="28"/>
          <w:szCs w:val="28"/>
          <w:lang w:val="uk-UA" w:eastAsia="ar-SA"/>
        </w:rPr>
        <w:t>Секретар міської ради</w:t>
        <w:tab/>
        <w:tab/>
        <w:tab/>
        <w:tab/>
        <w:tab/>
        <w:tab/>
        <w:tab/>
        <w:tab/>
        <w:t xml:space="preserve">    С.С. Курасов</w:t>
      </w:r>
    </w:p>
    <w:p>
      <w:pPr>
        <w:pStyle w:val="Normal"/>
        <w:spacing w:lineRule="auto" w:line="240" w:before="0" w:after="0"/>
        <w:jc w:val="both"/>
        <w:rPr>
          <w:sz w:val="28"/>
          <w:szCs w:val="28"/>
        </w:rPr>
      </w:pPr>
      <w:r>
        <w:rPr>
          <w:sz w:val="28"/>
          <w:szCs w:val="28"/>
        </w:rPr>
      </w:r>
    </w:p>
    <w:p>
      <w:pPr>
        <w:pStyle w:val="Normal"/>
        <w:spacing w:lineRule="auto" w:line="240" w:before="0" w:after="0"/>
        <w:jc w:val="both"/>
        <w:rPr>
          <w:sz w:val="28"/>
          <w:szCs w:val="28"/>
        </w:rPr>
      </w:pPr>
      <w:r>
        <w:rPr>
          <w:sz w:val="28"/>
          <w:szCs w:val="28"/>
        </w:rPr>
      </w:r>
    </w:p>
    <w:p>
      <w:pPr>
        <w:pStyle w:val="Normal"/>
        <w:spacing w:lineRule="auto" w:line="240" w:before="0" w:after="0"/>
        <w:jc w:val="both"/>
        <w:rPr>
          <w:sz w:val="28"/>
          <w:szCs w:val="28"/>
        </w:rPr>
      </w:pPr>
      <w:r>
        <w:rPr>
          <w:sz w:val="28"/>
          <w:szCs w:val="28"/>
        </w:rPr>
      </w:r>
    </w:p>
    <w:p>
      <w:pPr>
        <w:pStyle w:val="Normal"/>
        <w:spacing w:lineRule="auto" w:line="240" w:before="0" w:after="0"/>
        <w:jc w:val="both"/>
        <w:rPr>
          <w:sz w:val="28"/>
          <w:szCs w:val="28"/>
        </w:rPr>
      </w:pPr>
      <w:r>
        <w:rPr>
          <w:sz w:val="28"/>
          <w:szCs w:val="28"/>
        </w:rPr>
      </w:r>
    </w:p>
    <w:p>
      <w:pPr>
        <w:pStyle w:val="Normal"/>
        <w:spacing w:lineRule="auto" w:line="240" w:before="0" w:after="0"/>
        <w:jc w:val="both"/>
        <w:rPr>
          <w:sz w:val="28"/>
          <w:szCs w:val="28"/>
        </w:rPr>
      </w:pPr>
      <w:r>
        <w:rPr>
          <w:sz w:val="28"/>
          <w:szCs w:val="28"/>
        </w:rPr>
      </w:r>
    </w:p>
    <w:p>
      <w:pPr>
        <w:pStyle w:val="Normal"/>
        <w:spacing w:lineRule="auto" w:line="240" w:before="0" w:after="0"/>
        <w:jc w:val="both"/>
        <w:rPr>
          <w:sz w:val="28"/>
          <w:szCs w:val="28"/>
        </w:rPr>
      </w:pPr>
      <w:r>
        <w:rPr>
          <w:sz w:val="28"/>
          <w:szCs w:val="28"/>
        </w:rPr>
      </w:r>
    </w:p>
    <w:p>
      <w:pPr>
        <w:sectPr>
          <w:headerReference w:type="default" r:id="rId3"/>
          <w:type w:val="nextPage"/>
          <w:pgSz w:w="11906" w:h="16838"/>
          <w:pgMar w:left="1701" w:right="567" w:header="1134" w:top="1191" w:footer="0" w:bottom="1134" w:gutter="0"/>
          <w:pgNumType w:fmt="decimal"/>
          <w:formProt w:val="false"/>
          <w:textDirection w:val="lrTb"/>
          <w:docGrid w:type="default" w:linePitch="360" w:charSpace="0"/>
        </w:sectPr>
        <w:pStyle w:val="Normal"/>
        <w:spacing w:lineRule="auto" w:line="240" w:before="0" w:after="0"/>
        <w:jc w:val="both"/>
        <w:rPr>
          <w:sz w:val="22"/>
          <w:szCs w:val="22"/>
          <w:lang w:val="uk-UA"/>
        </w:rPr>
      </w:pPr>
      <w:r>
        <w:rPr>
          <w:sz w:val="22"/>
          <w:szCs w:val="22"/>
          <w:lang w:val="uk-UA"/>
        </w:rPr>
        <w:t>Сідашова 42244</w:t>
      </w:r>
    </w:p>
    <w:p>
      <w:pPr>
        <w:pStyle w:val="Normal"/>
        <w:spacing w:lineRule="auto" w:line="240" w:before="0" w:after="0"/>
        <w:ind w:left="0" w:right="0" w:hanging="0"/>
        <w:rPr>
          <w:rFonts w:cs="Times New Roman"/>
          <w:sz w:val="24"/>
          <w:szCs w:val="24"/>
          <w:lang w:val="uk-UA" w:bidi="ar-SA"/>
        </w:rPr>
      </w:pPr>
      <w:r>
        <w:rPr>
          <w:rFonts w:cs="Times New Roman"/>
          <w:sz w:val="24"/>
          <w:szCs w:val="24"/>
          <w:lang w:val="uk-UA" w:bidi="ar-SA"/>
        </w:rPr>
        <w:tab/>
        <w:t xml:space="preserve">                                                                                                                                                                                </w:t>
      </w:r>
      <w:r>
        <w:rPr>
          <w:rFonts w:cs="Times New Roman"/>
          <w:sz w:val="22"/>
          <w:szCs w:val="22"/>
          <w:lang w:val="uk-UA" w:bidi="ar-SA"/>
        </w:rPr>
        <w:t>Додаток 1</w:t>
      </w:r>
    </w:p>
    <w:p>
      <w:pPr>
        <w:pStyle w:val="Normal"/>
        <w:widowControl/>
        <w:suppressAutoHyphens w:val="true"/>
        <w:bidi w:val="0"/>
        <w:spacing w:lineRule="auto" w:line="240" w:before="0" w:after="0"/>
        <w:ind w:left="0" w:right="0" w:hanging="0"/>
        <w:jc w:val="left"/>
        <w:rPr>
          <w:sz w:val="22"/>
          <w:szCs w:val="22"/>
        </w:rPr>
      </w:pPr>
      <w:r>
        <w:rPr>
          <w:rFonts w:cs="Times New Roman"/>
          <w:sz w:val="22"/>
          <w:szCs w:val="22"/>
          <w:lang w:val="uk-UA" w:bidi="ar-SA"/>
        </w:rPr>
        <w:tab/>
        <w:tab/>
        <w:tab/>
        <w:tab/>
        <w:tab/>
        <w:tab/>
        <w:tab/>
        <w:tab/>
        <w:tab/>
        <w:tab/>
        <w:tab/>
        <w:tab/>
        <w:tab/>
        <w:tab/>
        <w:tab/>
        <w:tab/>
        <w:t xml:space="preserve">до рішення </w:t>
      </w:r>
      <w:r>
        <w:rPr>
          <w:rFonts w:eastAsia="Andale Sans UI;Arial Unicode MS" w:cs="Times New Roman"/>
          <w:color w:val="auto"/>
          <w:kern w:val="2"/>
          <w:sz w:val="22"/>
          <w:szCs w:val="22"/>
          <w:lang w:val="uk-UA" w:eastAsia="zxx" w:bidi="ar-SA"/>
        </w:rPr>
        <w:t>9</w:t>
      </w:r>
      <w:r>
        <w:rPr>
          <w:rFonts w:cs="Times New Roman"/>
          <w:sz w:val="22"/>
          <w:szCs w:val="22"/>
          <w:lang w:val="uk-UA" w:bidi="ar-SA"/>
        </w:rPr>
        <w:t xml:space="preserve"> сесії 8 скликання</w:t>
      </w:r>
    </w:p>
    <w:p>
      <w:pPr>
        <w:pStyle w:val="Normal"/>
        <w:widowControl/>
        <w:suppressAutoHyphens w:val="true"/>
        <w:bidi w:val="0"/>
        <w:spacing w:lineRule="auto" w:line="216" w:before="0" w:after="113"/>
        <w:ind w:left="0" w:right="0" w:hanging="0"/>
        <w:jc w:val="left"/>
        <w:rPr>
          <w:sz w:val="22"/>
          <w:szCs w:val="22"/>
        </w:rPr>
      </w:pPr>
      <w:r>
        <w:rPr>
          <w:rFonts w:cs="Times New Roman"/>
          <w:sz w:val="22"/>
          <w:szCs w:val="22"/>
          <w:lang w:val="uk-UA" w:bidi="ar-SA"/>
        </w:rPr>
        <w:tab/>
        <w:tab/>
        <w:tab/>
        <w:tab/>
        <w:tab/>
        <w:tab/>
        <w:tab/>
        <w:tab/>
        <w:tab/>
        <w:tab/>
        <w:tab/>
        <w:tab/>
        <w:tab/>
        <w:tab/>
        <w:tab/>
        <w:tab/>
      </w:r>
      <w:r>
        <w:rPr>
          <w:rFonts w:eastAsia="Andale Sans UI;Arial Unicode MS" w:cs="Times New Roman"/>
          <w:color w:val="auto"/>
          <w:kern w:val="2"/>
          <w:sz w:val="22"/>
          <w:szCs w:val="22"/>
          <w:lang w:val="uk-UA" w:eastAsia="zxx" w:bidi="ar-SA"/>
        </w:rPr>
        <w:t xml:space="preserve">30  червня   </w:t>
      </w:r>
      <w:r>
        <w:rPr>
          <w:rFonts w:cs="Times New Roman"/>
          <w:sz w:val="22"/>
          <w:szCs w:val="22"/>
          <w:lang w:val="uk-UA" w:bidi="ar-SA"/>
        </w:rPr>
        <w:t xml:space="preserve">2021р.  № </w:t>
      </w:r>
      <w:r>
        <w:rPr>
          <w:rFonts w:eastAsia="Andale Sans UI;Arial Unicode MS" w:cs="Times New Roman"/>
          <w:color w:val="auto"/>
          <w:kern w:val="2"/>
          <w:sz w:val="22"/>
          <w:szCs w:val="22"/>
          <w:lang w:val="en-US" w:eastAsia="zxx" w:bidi="ar-SA"/>
        </w:rPr>
        <w:t>3</w:t>
      </w:r>
    </w:p>
    <w:p>
      <w:pPr>
        <w:pStyle w:val="Style23"/>
        <w:spacing w:lineRule="auto" w:line="216" w:before="0" w:after="113"/>
        <w:rPr>
          <w:rFonts w:ascii="Times New Roman" w:hAnsi="Times New Roman"/>
          <w:sz w:val="26"/>
          <w:szCs w:val="26"/>
        </w:rPr>
      </w:pPr>
      <w:r>
        <w:rPr>
          <w:rFonts w:cs="Times New Roman" w:ascii="Times New Roman" w:hAnsi="Times New Roman"/>
          <w:sz w:val="24"/>
          <w:szCs w:val="24"/>
          <w:lang w:val="uk-UA" w:eastAsia="ru-RU" w:bidi="ar-SA"/>
        </w:rPr>
        <w:t>СТАВКИ</w:t>
      </w:r>
      <w:r>
        <w:rPr>
          <w:rFonts w:cs="Times New Roman" w:ascii="Times New Roman" w:hAnsi="Times New Roman"/>
          <w:sz w:val="24"/>
          <w:szCs w:val="24"/>
          <w:vertAlign w:val="superscript"/>
          <w:lang w:val="uk-UA" w:eastAsia="ru-RU" w:bidi="ar-SA"/>
        </w:rPr>
        <w:br/>
      </w:r>
      <w:r>
        <w:rPr>
          <w:rFonts w:cs="Times New Roman" w:ascii="Times New Roman" w:hAnsi="Times New Roman"/>
          <w:sz w:val="24"/>
          <w:szCs w:val="24"/>
          <w:lang w:val="uk-UA" w:eastAsia="ru-RU" w:bidi="ar-SA"/>
        </w:rPr>
        <w:t>податку на нерухоме майно, відмінне від земельної ділянки</w:t>
      </w:r>
      <w:r>
        <w:rPr>
          <w:rFonts w:cs="Times New Roman" w:ascii="Times New Roman" w:hAnsi="Times New Roman"/>
          <w:sz w:val="24"/>
          <w:szCs w:val="24"/>
          <w:lang w:val="uk-UA" w:bidi="ar-SA"/>
        </w:rPr>
        <w:t xml:space="preserve"> для об’єктів нерухомості </w:t>
      </w:r>
      <w:r>
        <w:rPr>
          <w:rFonts w:cs="Times New Roman" w:ascii="Times New Roman" w:hAnsi="Times New Roman"/>
          <w:sz w:val="24"/>
          <w:szCs w:val="24"/>
          <w:vertAlign w:val="superscript"/>
          <w:lang w:val="uk-UA" w:eastAsia="ru-RU" w:bidi="ar-SA"/>
        </w:rPr>
        <w:t>1</w:t>
      </w:r>
    </w:p>
    <w:p>
      <w:pPr>
        <w:pStyle w:val="Style24"/>
        <w:spacing w:lineRule="auto" w:line="216" w:before="0" w:after="113"/>
        <w:jc w:val="both"/>
        <w:rPr>
          <w:rFonts w:ascii="Times New Roman" w:hAnsi="Times New Roman" w:cs="Times New Roman"/>
          <w:sz w:val="24"/>
          <w:szCs w:val="24"/>
          <w:lang w:val="uk-UA" w:eastAsia="ru-RU" w:bidi="ar-SA"/>
        </w:rPr>
      </w:pPr>
      <w:r>
        <w:rPr>
          <w:rFonts w:cs="Times New Roman" w:ascii="Times New Roman" w:hAnsi="Times New Roman"/>
          <w:sz w:val="24"/>
          <w:szCs w:val="24"/>
          <w:lang w:val="uk-UA" w:eastAsia="ru-RU" w:bidi="ar-SA"/>
        </w:rPr>
        <w:t>Ставки вводяться в дію з 01 січня 2022 року.</w:t>
      </w:r>
    </w:p>
    <w:p>
      <w:pPr>
        <w:pStyle w:val="Style24"/>
        <w:spacing w:lineRule="auto" w:line="216" w:before="0" w:after="113"/>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15055" w:type="dxa"/>
        <w:jc w:val="left"/>
        <w:tblInd w:w="132" w:type="dxa"/>
        <w:tblLayout w:type="fixed"/>
        <w:tblCellMar>
          <w:top w:w="0" w:type="dxa"/>
          <w:left w:w="68" w:type="dxa"/>
          <w:bottom w:w="0" w:type="dxa"/>
          <w:right w:w="108" w:type="dxa"/>
        </w:tblCellMar>
      </w:tblPr>
      <w:tblGrid>
        <w:gridCol w:w="1799"/>
        <w:gridCol w:w="1800"/>
        <w:gridCol w:w="2340"/>
        <w:gridCol w:w="9115"/>
      </w:tblGrid>
      <w:tr>
        <w:trPr/>
        <w:tc>
          <w:tcPr>
            <w:tcW w:w="1799"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Код області</w:t>
            </w:r>
          </w:p>
        </w:tc>
        <w:tc>
          <w:tcPr>
            <w:tcW w:w="180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Код району</w:t>
            </w:r>
          </w:p>
        </w:tc>
        <w:tc>
          <w:tcPr>
            <w:tcW w:w="234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Код згідно з КОАТУУ</w:t>
            </w:r>
          </w:p>
        </w:tc>
        <w:tc>
          <w:tcPr>
            <w:tcW w:w="911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Найменування адміністративно-територіальної одиниці або населеного пункту, або території об’єднаної територіальної громади</w:t>
            </w:r>
          </w:p>
        </w:tc>
      </w:tr>
      <w:tr>
        <w:trPr/>
        <w:tc>
          <w:tcPr>
            <w:tcW w:w="1799"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04</w:t>
            </w:r>
          </w:p>
        </w:tc>
        <w:tc>
          <w:tcPr>
            <w:tcW w:w="180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w:t>
            </w:r>
          </w:p>
        </w:tc>
        <w:tc>
          <w:tcPr>
            <w:tcW w:w="234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1212100000</w:t>
            </w:r>
          </w:p>
        </w:tc>
        <w:tc>
          <w:tcPr>
            <w:tcW w:w="911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м. Покров Дніпропетровської обл.</w:t>
            </w:r>
          </w:p>
        </w:tc>
      </w:tr>
      <w:tr>
        <w:trPr/>
        <w:tc>
          <w:tcPr>
            <w:tcW w:w="1799"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04</w:t>
            </w:r>
          </w:p>
        </w:tc>
        <w:tc>
          <w:tcPr>
            <w:tcW w:w="180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22</w:t>
            </w:r>
          </w:p>
        </w:tc>
        <w:tc>
          <w:tcPr>
            <w:tcW w:w="234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1222987001</w:t>
            </w:r>
          </w:p>
        </w:tc>
        <w:tc>
          <w:tcPr>
            <w:tcW w:w="911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с.Шолохове Дніпропетровської обл.</w:t>
            </w:r>
          </w:p>
        </w:tc>
      </w:tr>
      <w:tr>
        <w:trPr/>
        <w:tc>
          <w:tcPr>
            <w:tcW w:w="1799"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04</w:t>
            </w:r>
          </w:p>
        </w:tc>
        <w:tc>
          <w:tcPr>
            <w:tcW w:w="180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22</w:t>
            </w:r>
          </w:p>
        </w:tc>
        <w:tc>
          <w:tcPr>
            <w:tcW w:w="234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1222987002</w:t>
            </w:r>
          </w:p>
        </w:tc>
        <w:tc>
          <w:tcPr>
            <w:tcW w:w="911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с.Миронівка Дніпропетровської обл.</w:t>
            </w:r>
          </w:p>
        </w:tc>
      </w:tr>
      <w:tr>
        <w:trPr/>
        <w:tc>
          <w:tcPr>
            <w:tcW w:w="1799"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04</w:t>
            </w:r>
          </w:p>
        </w:tc>
        <w:tc>
          <w:tcPr>
            <w:tcW w:w="180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22</w:t>
            </w:r>
          </w:p>
        </w:tc>
        <w:tc>
          <w:tcPr>
            <w:tcW w:w="234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1222987003</w:t>
            </w:r>
          </w:p>
        </w:tc>
        <w:tc>
          <w:tcPr>
            <w:tcW w:w="911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с.Улянівка Дніпропетровської обл</w:t>
            </w:r>
          </w:p>
        </w:tc>
      </w:tr>
    </w:tbl>
    <w:p>
      <w:pPr>
        <w:pStyle w:val="Normal"/>
        <w:widowControl w:val="false"/>
        <w:spacing w:lineRule="auto" w:line="216" w:before="0" w:after="113"/>
        <w:rPr>
          <w:rFonts w:cs="Times New Roman"/>
          <w:color w:val="000000"/>
          <w:sz w:val="12"/>
          <w:szCs w:val="12"/>
          <w:lang w:val="uk-UA" w:eastAsia="ru-RU"/>
        </w:rPr>
      </w:pPr>
      <w:r>
        <w:rPr>
          <w:rFonts w:cs="Times New Roman"/>
          <w:color w:val="000000"/>
          <w:sz w:val="12"/>
          <w:szCs w:val="12"/>
          <w:lang w:val="uk-UA" w:eastAsia="ru-RU"/>
        </w:rPr>
      </w:r>
    </w:p>
    <w:tbl>
      <w:tblPr>
        <w:tblW w:w="15054" w:type="dxa"/>
        <w:jc w:val="left"/>
        <w:tblInd w:w="110" w:type="dxa"/>
        <w:tblLayout w:type="fixed"/>
        <w:tblCellMar>
          <w:top w:w="0" w:type="dxa"/>
          <w:left w:w="5" w:type="dxa"/>
          <w:bottom w:w="0" w:type="dxa"/>
          <w:right w:w="13" w:type="dxa"/>
        </w:tblCellMar>
      </w:tblPr>
      <w:tblGrid>
        <w:gridCol w:w="1091"/>
        <w:gridCol w:w="7551"/>
        <w:gridCol w:w="3"/>
        <w:gridCol w:w="12"/>
        <w:gridCol w:w="1055"/>
        <w:gridCol w:w="86"/>
        <w:gridCol w:w="986"/>
        <w:gridCol w:w="12"/>
        <w:gridCol w:w="72"/>
        <w:gridCol w:w="956"/>
        <w:gridCol w:w="89"/>
        <w:gridCol w:w="9"/>
        <w:gridCol w:w="1110"/>
        <w:gridCol w:w="90"/>
        <w:gridCol w:w="2"/>
        <w:gridCol w:w="909"/>
        <w:gridCol w:w="10"/>
        <w:gridCol w:w="2"/>
        <w:gridCol w:w="1007"/>
      </w:tblGrid>
      <w:tr>
        <w:trPr>
          <w:tblHeader w:val="true"/>
          <w:trHeight w:val="23" w:hRule="atLeast"/>
        </w:trPr>
        <w:tc>
          <w:tcPr>
            <w:tcW w:w="8645"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Класифікація будівель та споруд</w:t>
            </w:r>
            <w:r>
              <w:rPr>
                <w:rFonts w:cs="Times New Roman" w:ascii="Times New Roman" w:hAnsi="Times New Roman"/>
                <w:color w:val="000000"/>
                <w:sz w:val="24"/>
                <w:szCs w:val="24"/>
                <w:vertAlign w:val="superscript"/>
                <w:lang w:val="uk-UA" w:eastAsia="ru-RU"/>
              </w:rPr>
              <w:t>2</w:t>
            </w:r>
          </w:p>
        </w:tc>
        <w:tc>
          <w:tcPr>
            <w:tcW w:w="6407" w:type="dxa"/>
            <w:gridSpan w:val="16"/>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Ставки податку</w:t>
            </w:r>
            <w:r>
              <w:rPr>
                <w:rFonts w:cs="Times New Roman" w:ascii="Times New Roman" w:hAnsi="Times New Roman"/>
                <w:color w:val="000000"/>
                <w:sz w:val="24"/>
                <w:szCs w:val="24"/>
                <w:vertAlign w:val="superscript"/>
                <w:lang w:val="uk-UA" w:eastAsia="ru-RU"/>
              </w:rPr>
              <w:t>3</w:t>
            </w:r>
            <w:r>
              <w:rPr>
                <w:rFonts w:cs="Times New Roman" w:ascii="Times New Roman" w:hAnsi="Times New Roman"/>
                <w:color w:val="000000"/>
                <w:sz w:val="24"/>
                <w:szCs w:val="24"/>
                <w:lang w:val="uk-UA" w:eastAsia="ru-RU"/>
              </w:rPr>
              <w:t xml:space="preserve"> за 1 кв. метр</w:t>
              <w:br/>
              <w:t>(відсотків розміру мінімальної заробітної плати)</w:t>
            </w:r>
          </w:p>
        </w:tc>
      </w:tr>
      <w:tr>
        <w:trPr>
          <w:tblHeader w:val="true"/>
          <w:trHeight w:val="23" w:hRule="atLeast"/>
        </w:trPr>
        <w:tc>
          <w:tcPr>
            <w:tcW w:w="1091" w:type="dxa"/>
            <w:vMerge w:val="restart"/>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код</w:t>
            </w:r>
            <w:r>
              <w:rPr>
                <w:rFonts w:cs="Times New Roman" w:ascii="Times New Roman" w:hAnsi="Times New Roman"/>
                <w:color w:val="000000"/>
                <w:sz w:val="24"/>
                <w:szCs w:val="24"/>
                <w:vertAlign w:val="superscript"/>
                <w:lang w:val="uk-UA" w:eastAsia="ru-RU"/>
              </w:rPr>
              <w:t>2</w:t>
            </w:r>
          </w:p>
        </w:tc>
        <w:tc>
          <w:tcPr>
            <w:tcW w:w="7551" w:type="dxa"/>
            <w:vMerge w:val="restart"/>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найменування</w:t>
            </w:r>
            <w:r>
              <w:rPr>
                <w:rFonts w:cs="Times New Roman" w:ascii="Times New Roman" w:hAnsi="Times New Roman"/>
                <w:color w:val="000000"/>
                <w:sz w:val="24"/>
                <w:szCs w:val="24"/>
                <w:vertAlign w:val="superscript"/>
                <w:lang w:val="uk-UA" w:eastAsia="ru-RU"/>
              </w:rPr>
              <w:t>2</w:t>
            </w:r>
          </w:p>
        </w:tc>
        <w:tc>
          <w:tcPr>
            <w:tcW w:w="3271" w:type="dxa"/>
            <w:gridSpan w:val="9"/>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для юридичних осіб</w:t>
            </w:r>
          </w:p>
        </w:tc>
        <w:tc>
          <w:tcPr>
            <w:tcW w:w="3139" w:type="dxa"/>
            <w:gridSpan w:val="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для фізичних осіб</w:t>
            </w:r>
          </w:p>
        </w:tc>
      </w:tr>
      <w:tr>
        <w:trPr>
          <w:tblHeader w:val="true"/>
          <w:trHeight w:val="23" w:hRule="atLeast"/>
        </w:trPr>
        <w:tc>
          <w:tcPr>
            <w:tcW w:w="1091" w:type="dxa"/>
            <w:vMerge w:val="continue"/>
            <w:tcBorders>
              <w:top w:val="single" w:sz="4" w:space="0" w:color="000001"/>
              <w:left w:val="single" w:sz="4" w:space="0" w:color="000001"/>
              <w:bottom w:val="single" w:sz="4" w:space="0" w:color="000001"/>
            </w:tcBorders>
            <w:shd w:fill="auto" w:val="clear"/>
            <w:vAlign w:val="center"/>
          </w:tcPr>
          <w:p>
            <w:pPr>
              <w:pStyle w:val="Style24"/>
              <w:widowControl w:val="false"/>
              <w:snapToGrid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r>
          </w:p>
        </w:tc>
        <w:tc>
          <w:tcPr>
            <w:tcW w:w="7551" w:type="dxa"/>
            <w:vMerge w:val="continue"/>
            <w:tcBorders>
              <w:top w:val="single" w:sz="4" w:space="0" w:color="000001"/>
              <w:left w:val="single" w:sz="4" w:space="0" w:color="000001"/>
              <w:bottom w:val="single" w:sz="4" w:space="0" w:color="000001"/>
            </w:tcBorders>
            <w:shd w:fill="auto" w:val="clear"/>
            <w:vAlign w:val="center"/>
          </w:tcPr>
          <w:p>
            <w:pPr>
              <w:pStyle w:val="Style24"/>
              <w:widowControl w:val="false"/>
              <w:snapToGrid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1 зона</w:t>
            </w:r>
            <w:r>
              <w:rPr>
                <w:rFonts w:cs="Times New Roman" w:ascii="Times New Roman" w:hAnsi="Times New Roman"/>
                <w:color w:val="000000"/>
                <w:sz w:val="24"/>
                <w:szCs w:val="24"/>
                <w:vertAlign w:val="superscript"/>
                <w:lang w:val="uk-UA" w:eastAsia="ru-RU"/>
              </w:rPr>
              <w:t>4</w:t>
            </w:r>
          </w:p>
        </w:tc>
        <w:tc>
          <w:tcPr>
            <w:tcW w:w="1072"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2 зона</w:t>
            </w:r>
            <w:r>
              <w:rPr>
                <w:rFonts w:cs="Times New Roman" w:ascii="Times New Roman" w:hAnsi="Times New Roman"/>
                <w:color w:val="000000"/>
                <w:sz w:val="24"/>
                <w:szCs w:val="24"/>
                <w:vertAlign w:val="superscript"/>
                <w:lang w:val="uk-UA" w:eastAsia="ru-RU"/>
              </w:rPr>
              <w:t>4</w:t>
            </w:r>
          </w:p>
        </w:tc>
        <w:tc>
          <w:tcPr>
            <w:tcW w:w="1129"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3 зона</w:t>
            </w:r>
            <w:r>
              <w:rPr>
                <w:rFonts w:cs="Times New Roman" w:ascii="Times New Roman" w:hAnsi="Times New Roman"/>
                <w:color w:val="000000"/>
                <w:sz w:val="24"/>
                <w:szCs w:val="24"/>
                <w:vertAlign w:val="superscript"/>
                <w:lang w:val="uk-UA" w:eastAsia="ru-RU"/>
              </w:rPr>
              <w:t>4</w:t>
            </w:r>
          </w:p>
        </w:tc>
        <w:tc>
          <w:tcPr>
            <w:tcW w:w="111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1 зона</w:t>
            </w:r>
            <w:r>
              <w:rPr>
                <w:rFonts w:cs="Times New Roman" w:ascii="Times New Roman" w:hAnsi="Times New Roman"/>
                <w:color w:val="000000"/>
                <w:sz w:val="24"/>
                <w:szCs w:val="24"/>
                <w:vertAlign w:val="superscript"/>
                <w:lang w:val="uk-UA" w:eastAsia="ru-RU"/>
              </w:rPr>
              <w:t>4</w:t>
            </w:r>
          </w:p>
        </w:tc>
        <w:tc>
          <w:tcPr>
            <w:tcW w:w="100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2 зона</w:t>
            </w:r>
            <w:r>
              <w:rPr>
                <w:rFonts w:cs="Times New Roman" w:ascii="Times New Roman" w:hAnsi="Times New Roman"/>
                <w:color w:val="000000"/>
                <w:sz w:val="24"/>
                <w:szCs w:val="24"/>
                <w:vertAlign w:val="superscript"/>
                <w:lang w:val="uk-UA" w:eastAsia="ru-RU"/>
              </w:rPr>
              <w:t>4</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3 зона</w:t>
            </w:r>
            <w:r>
              <w:rPr>
                <w:rFonts w:cs="Times New Roman" w:ascii="Times New Roman" w:hAnsi="Times New Roman"/>
                <w:color w:val="000000"/>
                <w:sz w:val="24"/>
                <w:szCs w:val="24"/>
                <w:vertAlign w:val="superscript"/>
                <w:lang w:val="uk-UA" w:eastAsia="ru-RU"/>
              </w:rPr>
              <w:t>4</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45"/>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житлові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45"/>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одноквартирні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1110</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45"/>
              <w:jc w:val="center"/>
              <w:rPr>
                <w:rFonts w:ascii="Times New Roman" w:hAnsi="Times New Roman"/>
                <w:sz w:val="26"/>
                <w:szCs w:val="26"/>
              </w:rPr>
            </w:pPr>
            <w:r>
              <w:rPr>
                <w:rFonts w:cs="Times New Roman" w:ascii="Times New Roman" w:hAnsi="Times New Roman"/>
                <w:color w:val="000000"/>
                <w:sz w:val="24"/>
                <w:szCs w:val="24"/>
                <w:lang w:val="uk-UA" w:eastAsia="ru-RU"/>
              </w:rPr>
              <w:t>Будинки одноквартирні</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1110.1</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одноквартирні масової забудови</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956"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300" w:type="dxa"/>
            <w:gridSpan w:val="5"/>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07"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1110.2</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Котеджі та будинки одноквартирні підвищеної комфортності</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956"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300" w:type="dxa"/>
            <w:gridSpan w:val="5"/>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07"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1110.3</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садибного типу</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956"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300" w:type="dxa"/>
            <w:gridSpan w:val="5"/>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07"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1110.4</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дачні та садові</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956"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300" w:type="dxa"/>
            <w:gridSpan w:val="5"/>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07"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з двома та більше квартирами</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1121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Будинки з двома квартирами</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1121.1</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двоквартирні масової забудови</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6"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09"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1121.2</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Котеджі та будинки двоквартирні підвищеної комфортності</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6"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09"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1122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Будинки з трьома та більше квартирами</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1122.1</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багатоквартирні масової забудови</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6"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09"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1122.2</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багатоквартирні підвищеної комфортності, індивідуальні</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6"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09"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1122.3</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житлові готельного типу</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6"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09"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113</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Гуртожитки</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1130.1</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Гуртожитки для робітників та службовців</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126" w:type="dxa"/>
            <w:gridSpan w:val="4"/>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009"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1130.2</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Гуртожитки для студентів вищих навчальних закладів</w:t>
            </w:r>
            <w:r>
              <w:rPr>
                <w:rFonts w:cs="Times New Roman" w:ascii="Times New Roman" w:hAnsi="Times New Roman"/>
                <w:color w:val="000000"/>
                <w:sz w:val="24"/>
                <w:szCs w:val="24"/>
                <w:vertAlign w:val="superscript"/>
                <w:lang w:val="uk-UA" w:eastAsia="ru-RU"/>
              </w:rPr>
              <w:t>5</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126" w:type="dxa"/>
            <w:gridSpan w:val="4"/>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009"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1130.3</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Гуртожитки для учнів навчальних закладів</w:t>
            </w:r>
            <w:r>
              <w:rPr>
                <w:rFonts w:cs="Times New Roman" w:ascii="Times New Roman" w:hAnsi="Times New Roman"/>
                <w:color w:val="000000"/>
                <w:sz w:val="24"/>
                <w:szCs w:val="24"/>
                <w:vertAlign w:val="superscript"/>
                <w:lang w:val="uk-UA" w:eastAsia="ru-RU"/>
              </w:rPr>
              <w:t>5</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126" w:type="dxa"/>
            <w:gridSpan w:val="4"/>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009"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1130.4</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Будинки-інтернати для людей похилого віку та інвалідів</w:t>
            </w:r>
            <w:r>
              <w:rPr>
                <w:rFonts w:cs="Times New Roman" w:ascii="Times New Roman" w:hAnsi="Times New Roman"/>
                <w:color w:val="000000"/>
                <w:sz w:val="24"/>
                <w:szCs w:val="24"/>
                <w:vertAlign w:val="superscript"/>
                <w:lang w:val="uk-UA" w:eastAsia="ru-RU"/>
              </w:rPr>
              <w:t>5</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126" w:type="dxa"/>
            <w:gridSpan w:val="4"/>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009"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1130.5</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Будинки дитини та сирітські будинки</w:t>
            </w:r>
            <w:r>
              <w:rPr>
                <w:rFonts w:cs="Times New Roman" w:ascii="Times New Roman" w:hAnsi="Times New Roman"/>
                <w:color w:val="000000"/>
                <w:sz w:val="24"/>
                <w:szCs w:val="24"/>
                <w:vertAlign w:val="superscript"/>
                <w:lang w:val="uk-UA" w:eastAsia="ru-RU"/>
              </w:rPr>
              <w:t>5</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126" w:type="dxa"/>
            <w:gridSpan w:val="4"/>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009"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1130.6</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Будинки для біженців, притулки для бездомних</w:t>
            </w:r>
            <w:r>
              <w:rPr>
                <w:rFonts w:cs="Times New Roman" w:ascii="Times New Roman" w:hAnsi="Times New Roman"/>
                <w:color w:val="000000"/>
                <w:sz w:val="24"/>
                <w:szCs w:val="24"/>
                <w:vertAlign w:val="superscript"/>
                <w:lang w:val="uk-UA" w:eastAsia="ru-RU"/>
              </w:rPr>
              <w:t>5</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126" w:type="dxa"/>
            <w:gridSpan w:val="4"/>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009"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1130.9</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для колективного проживання інші</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126" w:type="dxa"/>
            <w:gridSpan w:val="4"/>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009"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нежитлові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Готелі, ресторани та подібні будівлі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готельні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1211.1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Готелі</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9"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1211.2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Мотелі</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9"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1211.3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Кемпінги</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9"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1211.4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Пансіонати</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9"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1211.5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Ресторани та бари</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9"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Інші будівлі для тимчасового проживання</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1212.1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Туристичні бази та гірські притулки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1212.2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Дитячі та сімейні табори відпочинку</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1212.3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Центри та будинки відпочинку</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1212.9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Інші будівлі для тимчасового проживання, не класифіковані раніше</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офісні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1220</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Будівлі офісні</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1220.1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органів державного та місцевого управління</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1220.2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фінансового обслуговування</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1220.3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органів правосуддя</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1220.4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закордонних представництв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1220.5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Адміністративно-побутові будівлі промислових підприємств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1220.9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для конторських та адміністративних цілей інші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торговельні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1230</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торговельні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1230.1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Торгові центри, універмаги, магазини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1230.2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Криті ринки, павільйони та зали для ярмарків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1230.3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Станції технічного обслуговування автомобілів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1230.4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Їдальні, кафе, закусочні тощо</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1230.5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Бази та склади підприємств торгівлі і громадського харчування</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1230.6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підприємств побутового обслуговування</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1230.9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торговельні інші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транспорту та засобів зв’язку</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Вокзали, аеровокзали, будівлі засобів зв’язку та пов’язані з ними будівлі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Автовокзали та інші будівлі автомобільного транспорту</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Вокзали та інші будівлі залізничного транспорту</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міського електротранспорту</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eastAsia="Times New Roman" w:cs="Times New Roman"/>
                <w:color w:val="000000"/>
                <w:kern w:val="0"/>
                <w:sz w:val="24"/>
                <w:szCs w:val="24"/>
                <w:lang w:val="uk-UA" w:eastAsia="ru-RU" w:bidi="ar-SA"/>
              </w:rPr>
            </w:pPr>
            <w:r>
              <w:rPr>
                <w:rFonts w:eastAsia="Times New Roman" w:cs="Times New Roman" w:ascii="Times New Roman" w:hAnsi="Times New Roman"/>
                <w:color w:val="000000"/>
                <w:kern w:val="0"/>
                <w:sz w:val="24"/>
                <w:szCs w:val="24"/>
                <w:lang w:val="uk-UA" w:eastAsia="ru-RU" w:bidi="ar-SA"/>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eastAsia="Times New Roman" w:cs="Times New Roman"/>
                <w:color w:val="000000"/>
                <w:kern w:val="0"/>
                <w:sz w:val="24"/>
                <w:szCs w:val="24"/>
                <w:lang w:val="uk-UA" w:eastAsia="ru-RU" w:bidi="ar-SA"/>
              </w:rPr>
            </w:pPr>
            <w:r>
              <w:rPr>
                <w:rFonts w:eastAsia="Times New Roman" w:cs="Times New Roman" w:ascii="Times New Roman" w:hAnsi="Times New Roman"/>
                <w:color w:val="000000"/>
                <w:kern w:val="0"/>
                <w:sz w:val="24"/>
                <w:szCs w:val="24"/>
                <w:lang w:val="uk-UA" w:eastAsia="ru-RU" w:bidi="ar-SA"/>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Аеровокзали та інші будівлі повітряного транспорту</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Морські та річкові вокзали, маяки та пов’язані з ними будівлі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станцій підвісних та канатних доріг</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1241.7</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центрів радіо- та телевізійного мовлення, телефонних станцій, телекомунікаційних центрів тощо</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1241.8</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Ангари для літаків, локомотивні, вагонні, трамвайні та тролейбусні депо</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транспорту та засобів зв’язку інші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Гаражі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1242.1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Гаражі наземні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1242.2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Гаражі підземні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1242.3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Стоянки автомобільні криті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1242.4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Навіси для велосипедів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промислові та склади</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Будівлі промислові</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машинобудування та металообробної промисловості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чорної металургії</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хімічної та нафтохімічної промисловості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легкої промисловості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харчової промисловості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медичної та мікробіологічної промисловості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1251.7</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лісової, деревообробної та целюлозно-паперової промисловості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1251.8</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будівельної індустрії, будівельних матеріалів та виробів, скляної та фарфоро-фаянсової промисловості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інших промислових виробництв, включаючи поліграфічне</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Резервуари, силоси та склади</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Резервуари для нафти, нафтопродуктів та газу</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Резервуари та ємності інші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Силоси для зерна</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Силоси для цементу та інших сипучих матеріалів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Склади спеціальні товарні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Холодильники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1252.7</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Складські майданчики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1252.8</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Склади універсальні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Склади та сховища інші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0</w:t>
            </w:r>
            <w:r>
              <w:rPr>
                <w:rFonts w:cs="Times New Roman" w:ascii="Times New Roman" w:hAnsi="Times New Roman"/>
                <w:color w:val="000000"/>
                <w:sz w:val="24"/>
                <w:szCs w:val="26"/>
                <w:lang w:val="uk-UA" w:eastAsia="ru-RU"/>
              </w:rPr>
              <w:t>,6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0</w:t>
            </w:r>
            <w:r>
              <w:rPr>
                <w:rFonts w:cs="Times New Roman" w:ascii="Times New Roman" w:hAnsi="Times New Roman"/>
                <w:color w:val="000000"/>
                <w:sz w:val="24"/>
                <w:szCs w:val="26"/>
                <w:lang w:val="uk-UA" w:eastAsia="ru-RU"/>
              </w:rPr>
              <w:t>,6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для публічних виступів, закладів освітнього, медичного та оздоровчого призначення</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для публічних виступів</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1261.1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Театри, кінотеатри та концертні зали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1261.2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Зали засідань та багатоцільові зали для публічних виступів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1261.3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Цирки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1261.4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Казино, ігорні будинки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eastAsia="Times New Roman" w:cs="Times New Roman" w:ascii="Times New Roman" w:hAnsi="Times New Roman"/>
                <w:color w:val="000000"/>
                <w:kern w:val="2"/>
                <w:sz w:val="24"/>
                <w:szCs w:val="24"/>
                <w:lang w:val="uk-UA" w:eastAsia="ru-RU" w:bidi="zxx"/>
              </w:rPr>
              <w:t>1,5</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1261.5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Музичні та танцювальні зали, дискотеки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1261.9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для публічних виступів інші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Музеї та бібліотеки</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1262.1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Музеї та художні галереї</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1262.2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Бібліотеки, книгосховища</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1262.3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Технічні центри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1262.4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Планетарії</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1262.5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архівів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1262.6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зоологічних та ботанічних садів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навчальних та дослідних закладів</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науково-дослідних та проектно-вишукувальних установ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вищих навчальних закладів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шкіл та інших середніх навчальних закладів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професійно-технічних навчальних закладів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дошкільних та позашкільних навчальних закладів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спеціальних навчальних закладів для дітей з особливими потребами</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1263.7</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закладів з фахової перепідготовки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1263.8</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метеорологічних станцій, обсерваторій</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освітніх та науково-дослідних закладів інші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1264</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лікарень та оздоровчих закладів</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1264.1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Лікарні багатопрофільні територіального обслуговування, навчальних закладів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1264.2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Лікарні профільні, диспансери</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1264.3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Материнські та дитячі реабілітаційні центри, пологові будинки</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1264.4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Поліклініки, пункти медичного обслуговування та консультації</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1264.5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Шпиталі виправних закладів, в’язниць та Збройних Сил</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1264.6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Санаторії, профілакторії та центри функціональної реабілітації</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1264.9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Заклади лікувально-профілактичні та оздоровчі інші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1265</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Зали спортивні</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1265.1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Зали гімнастичні, баскетбольні, волейбольні, тенісні тощо</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1265.2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Басейни криті для плавання</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1265.3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Хокейні та льодові стадіони криті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1265.4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Манежі легкоатлетичні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1265.5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Тири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1265.9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Зали спортивні інші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нежитлові інші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Будівлі сільськогосподарського призначення, лісівництва та рибного господарства</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для тваринництва</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для птахівництва</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для зберігання зерна</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силосні та сінажні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для садівництва, виноградарства та виноробства</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тепличного господарства</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1271.7</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рибного господарства</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1271.8</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лісівництва та звірівництва</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сільськогосподарського призначення інші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Будівлі для культової та релігійної діяльності</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1272.1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Церкви, собори, костьоли, мечеті, синагоги тощо</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1272.2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Похоронні бюро та ритуальні зали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1272.3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Цвинтарі та крематорії</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1273</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Пам’ятки історичні та такі, що охороняються державою</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1273.1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Пам’ятки історії та архітектури</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1273.2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Археологічні розкопки, руїни та історичні місця, що охороняються державою</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1273.3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Меморіали, художньо-декоративні будівлі, статуї</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1274</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Будівлі інші, не класифіковані раніше</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1274.1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Казарми Збройних Сил</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1274.2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поліцейських та пожежних служб</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1274.3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виправних закладів, в’язниць та слідчих ізоляторів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1274.4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лазень та пралень</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1274.5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з облаштування населених пунктів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9"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19"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bl>
    <w:p>
      <w:pPr>
        <w:pStyle w:val="Style24"/>
        <w:spacing w:lineRule="auto" w:line="216" w:before="0" w:after="113"/>
        <w:jc w:val="both"/>
        <w:rPr>
          <w:rFonts w:ascii="Times New Roman" w:hAnsi="Times New Roman" w:cs="Times New Roman"/>
          <w:color w:val="000000"/>
          <w:szCs w:val="26"/>
          <w:lang w:val="uk-UA" w:eastAsia="ru-RU" w:bidi="ar-SA"/>
        </w:rPr>
      </w:pPr>
      <w:r>
        <w:rPr>
          <w:rFonts w:cs="Times New Roman" w:ascii="Times New Roman" w:hAnsi="Times New Roman"/>
          <w:color w:val="000000"/>
          <w:szCs w:val="26"/>
          <w:lang w:val="uk-UA" w:eastAsia="ru-RU" w:bidi="ar-SA"/>
        </w:rPr>
        <w:t>__________</w:t>
      </w:r>
    </w:p>
    <w:p>
      <w:pPr>
        <w:pStyle w:val="Style24"/>
        <w:spacing w:before="0" w:after="57"/>
        <w:jc w:val="both"/>
        <w:rPr>
          <w:rFonts w:ascii="Times New Roman" w:hAnsi="Times New Roman"/>
          <w:sz w:val="26"/>
          <w:szCs w:val="26"/>
        </w:rPr>
      </w:pPr>
      <w:r>
        <w:rPr>
          <w:rFonts w:cs="Times New Roman" w:ascii="Times New Roman" w:hAnsi="Times New Roman"/>
          <w:color w:val="000000"/>
          <w:sz w:val="22"/>
          <w:szCs w:val="22"/>
          <w:vertAlign w:val="superscript"/>
          <w:lang w:val="uk-UA" w:eastAsia="ru-RU" w:bidi="ar-SA"/>
        </w:rPr>
        <w:t>1</w:t>
      </w:r>
      <w:r>
        <w:rPr>
          <w:rFonts w:cs="Times New Roman" w:ascii="Times New Roman" w:hAnsi="Times New Roman"/>
          <w:color w:val="000000"/>
          <w:sz w:val="22"/>
          <w:szCs w:val="22"/>
          <w:lang w:val="uk-UA" w:eastAsia="ru-RU" w:bidi="ar-SA"/>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pPr>
        <w:pStyle w:val="Style24"/>
        <w:spacing w:before="0" w:after="57"/>
        <w:jc w:val="both"/>
        <w:rPr>
          <w:rFonts w:ascii="Times New Roman" w:hAnsi="Times New Roman"/>
          <w:sz w:val="26"/>
          <w:szCs w:val="26"/>
        </w:rPr>
      </w:pPr>
      <w:r>
        <w:rPr>
          <w:rFonts w:cs="Times New Roman" w:ascii="Times New Roman" w:hAnsi="Times New Roman"/>
          <w:color w:val="000000"/>
          <w:sz w:val="22"/>
          <w:szCs w:val="22"/>
          <w:vertAlign w:val="superscript"/>
          <w:lang w:val="uk-UA" w:eastAsia="ru-RU" w:bidi="ar-SA"/>
        </w:rPr>
        <w:t>2</w:t>
      </w:r>
      <w:r>
        <w:rPr>
          <w:rFonts w:cs="Times New Roman" w:ascii="Times New Roman" w:hAnsi="Times New Roman"/>
          <w:color w:val="000000"/>
          <w:sz w:val="22"/>
          <w:szCs w:val="22"/>
          <w:lang w:val="uk-UA" w:eastAsia="ru-RU" w:bidi="ar-SA"/>
        </w:rPr>
        <w:t xml:space="preserve"> Кл</w:t>
      </w:r>
      <w:r>
        <w:rPr>
          <w:rFonts w:cs="Times New Roman" w:ascii="Times New Roman" w:hAnsi="Times New Roman"/>
          <w:sz w:val="22"/>
          <w:szCs w:val="22"/>
          <w:lang w:val="uk-UA" w:eastAsia="ru-RU" w:bidi="ar-SA"/>
        </w:rPr>
        <w:t>асифікація будівель та споруд, код та найменування зазначаються відповідно до Державного класифікатора будівель та споруд ДК 018-2000, затвердженого наказом Держстандарту від 17 серпня 2000 р. № 507.</w:t>
      </w:r>
    </w:p>
    <w:p>
      <w:pPr>
        <w:pStyle w:val="Style24"/>
        <w:spacing w:before="0" w:after="57"/>
        <w:jc w:val="both"/>
        <w:rPr>
          <w:rFonts w:ascii="Times New Roman" w:hAnsi="Times New Roman"/>
          <w:sz w:val="26"/>
          <w:szCs w:val="26"/>
        </w:rPr>
      </w:pPr>
      <w:r>
        <w:rPr>
          <w:rFonts w:cs="Times New Roman" w:ascii="Times New Roman" w:hAnsi="Times New Roman"/>
          <w:sz w:val="22"/>
          <w:szCs w:val="22"/>
          <w:vertAlign w:val="superscript"/>
          <w:lang w:val="uk-UA" w:eastAsia="ru-RU" w:bidi="ar-SA"/>
        </w:rPr>
        <w:t>3</w:t>
      </w:r>
      <w:r>
        <w:rPr>
          <w:rFonts w:cs="Times New Roman" w:ascii="Times New Roman" w:hAnsi="Times New Roman"/>
          <w:sz w:val="22"/>
          <w:szCs w:val="22"/>
          <w:lang w:val="uk-UA" w:eastAsia="ru-RU" w:bidi="ar-SA"/>
        </w:rPr>
        <w:t xml:space="preserve"> Ставки податку встановлюються з урахуванням норм підпункту 12.3.7 пункту 12.3 статті 12, пункту 30.2 статті 30, пункту 266.2 статті 266 Податкового кодексу України і зазначаються десятковим дробом з трьома (у разі потреби чотирма) десятковими знаками після коми. </w:t>
      </w:r>
    </w:p>
    <w:p>
      <w:pPr>
        <w:pStyle w:val="Style24"/>
        <w:spacing w:before="0" w:after="57"/>
        <w:jc w:val="both"/>
        <w:rPr>
          <w:rFonts w:ascii="Times New Roman" w:hAnsi="Times New Roman"/>
          <w:sz w:val="26"/>
          <w:szCs w:val="26"/>
        </w:rPr>
      </w:pPr>
      <w:r>
        <w:rPr>
          <w:rFonts w:cs="Times New Roman" w:ascii="Times New Roman" w:hAnsi="Times New Roman"/>
          <w:sz w:val="22"/>
          <w:szCs w:val="22"/>
          <w:vertAlign w:val="superscript"/>
          <w:lang w:val="uk-UA" w:eastAsia="ru-RU" w:bidi="ar-SA"/>
        </w:rPr>
        <w:t>4</w:t>
      </w:r>
      <w:r>
        <w:rPr>
          <w:rFonts w:cs="Times New Roman" w:ascii="Times New Roman" w:hAnsi="Times New Roman"/>
          <w:sz w:val="22"/>
          <w:szCs w:val="22"/>
          <w:lang w:val="uk-UA" w:eastAsia="ru-RU" w:bidi="ar-SA"/>
        </w:rPr>
        <w:t xml:space="preserve"> У разі визначення у рішенні про оподаткування податком на нерухоме майно, відмінне від земельної ділянки, зон адміністративно-територіальної одиниці, щодо якої приймається рішення, ставки встановлюються залежно від зони. Без урахування зони ставки зазначаються у графі «1 зона». </w:t>
      </w:r>
    </w:p>
    <w:p>
      <w:pPr>
        <w:pStyle w:val="Style24"/>
        <w:spacing w:before="0" w:after="57"/>
        <w:jc w:val="both"/>
        <w:rPr>
          <w:rFonts w:ascii="Times New Roman" w:hAnsi="Times New Roman"/>
          <w:sz w:val="26"/>
          <w:szCs w:val="26"/>
        </w:rPr>
      </w:pPr>
      <w:r>
        <w:rPr>
          <w:rFonts w:cs="Times New Roman" w:ascii="Times New Roman" w:hAnsi="Times New Roman"/>
          <w:sz w:val="22"/>
          <w:szCs w:val="22"/>
          <w:vertAlign w:val="superscript"/>
          <w:lang w:val="uk-UA" w:eastAsia="ru-RU" w:bidi="ar-SA"/>
        </w:rPr>
        <w:t>5</w:t>
      </w:r>
      <w:r>
        <w:rPr>
          <w:rFonts w:cs="Times New Roman" w:ascii="Times New Roman" w:hAnsi="Times New Roman"/>
          <w:sz w:val="22"/>
          <w:szCs w:val="22"/>
          <w:lang w:val="uk-UA" w:eastAsia="ru-RU" w:bidi="ar-SA"/>
        </w:rPr>
        <w:t xml:space="preserve"> Об’єкти нерухомості, що класифікуються за цим підкласом,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 266.2.2 пункту 266.2 та пункту 266.4 статті 266 Податкового кодексу України.</w:t>
      </w:r>
      <w:r>
        <w:rPr>
          <w:rFonts w:cs="Times New Roman" w:ascii="Times New Roman" w:hAnsi="Times New Roman"/>
          <w:sz w:val="22"/>
          <w:szCs w:val="22"/>
          <w:vertAlign w:val="superscript"/>
          <w:lang w:val="uk-UA" w:eastAsia="ru-RU" w:bidi="ar-SA"/>
        </w:rPr>
        <w:t xml:space="preserve"> </w:t>
      </w:r>
    </w:p>
    <w:p>
      <w:pPr>
        <w:pStyle w:val="Style24"/>
        <w:spacing w:before="0" w:after="57"/>
        <w:jc w:val="both"/>
        <w:rPr>
          <w:rFonts w:ascii="Times New Roman" w:hAnsi="Times New Roman" w:cs="Times New Roman"/>
          <w:sz w:val="22"/>
          <w:szCs w:val="26"/>
          <w:vertAlign w:val="superscript"/>
          <w:lang w:val="uk-UA" w:eastAsia="ru-RU" w:bidi="ar-SA"/>
        </w:rPr>
      </w:pPr>
      <w:r>
        <w:rPr>
          <w:rFonts w:cs="Times New Roman" w:ascii="Times New Roman" w:hAnsi="Times New Roman"/>
          <w:sz w:val="22"/>
          <w:szCs w:val="26"/>
          <w:vertAlign w:val="superscript"/>
          <w:lang w:val="uk-UA" w:eastAsia="ru-RU" w:bidi="ar-SA"/>
        </w:rPr>
      </w:r>
    </w:p>
    <w:p>
      <w:pPr>
        <w:pStyle w:val="Style24"/>
        <w:spacing w:before="0" w:after="57"/>
        <w:jc w:val="both"/>
        <w:rPr>
          <w:rFonts w:ascii="Times New Roman" w:hAnsi="Times New Roman" w:cs="Times New Roman"/>
          <w:sz w:val="22"/>
          <w:szCs w:val="26"/>
          <w:vertAlign w:val="superscript"/>
          <w:lang w:val="uk-UA" w:eastAsia="ru-RU" w:bidi="ar-SA"/>
        </w:rPr>
      </w:pPr>
      <w:r>
        <w:rPr>
          <w:rFonts w:cs="Times New Roman" w:ascii="Times New Roman" w:hAnsi="Times New Roman"/>
          <w:sz w:val="22"/>
          <w:szCs w:val="26"/>
          <w:vertAlign w:val="superscript"/>
          <w:lang w:val="uk-UA" w:eastAsia="ru-RU" w:bidi="ar-SA"/>
        </w:rPr>
      </w:r>
    </w:p>
    <w:p>
      <w:pPr>
        <w:pStyle w:val="Normal"/>
        <w:spacing w:lineRule="auto" w:line="240" w:before="0" w:after="0"/>
        <w:ind w:left="0" w:right="0" w:hanging="0"/>
        <w:rPr>
          <w:rFonts w:ascii="Times New Roman" w:hAnsi="Times New Roman"/>
          <w:sz w:val="26"/>
          <w:szCs w:val="26"/>
        </w:rPr>
      </w:pPr>
      <w:r>
        <w:rPr>
          <w:rFonts w:cs="Times New Roman"/>
          <w:sz w:val="24"/>
          <w:szCs w:val="24"/>
          <w:lang w:val="uk-UA" w:bidi="ar-SA"/>
        </w:rPr>
        <w:br/>
      </w:r>
    </w:p>
    <w:p>
      <w:pPr>
        <w:pStyle w:val="Style24"/>
        <w:spacing w:before="0" w:after="57"/>
        <w:jc w:val="both"/>
        <w:rPr>
          <w:rFonts w:ascii="Times New Roman" w:hAnsi="Times New Roman" w:cs="Times New Roman"/>
          <w:sz w:val="22"/>
          <w:szCs w:val="26"/>
          <w:vertAlign w:val="superscript"/>
          <w:lang w:val="uk-UA" w:eastAsia="ru-RU" w:bidi="ar-SA"/>
        </w:rPr>
      </w:pPr>
      <w:r>
        <w:rPr>
          <w:rFonts w:cs="Times New Roman" w:ascii="Times New Roman" w:hAnsi="Times New Roman"/>
          <w:sz w:val="22"/>
          <w:szCs w:val="26"/>
          <w:vertAlign w:val="superscript"/>
          <w:lang w:val="uk-UA" w:eastAsia="ru-RU" w:bidi="ar-SA"/>
        </w:rPr>
      </w:r>
    </w:p>
    <w:p>
      <w:pPr>
        <w:pStyle w:val="Style24"/>
        <w:spacing w:before="0" w:after="57"/>
        <w:jc w:val="both"/>
        <w:rPr>
          <w:rFonts w:ascii="Times New Roman" w:hAnsi="Times New Roman" w:cs="Times New Roman"/>
          <w:sz w:val="22"/>
          <w:szCs w:val="26"/>
          <w:vertAlign w:val="superscript"/>
          <w:lang w:val="uk-UA" w:eastAsia="ru-RU" w:bidi="ar-SA"/>
        </w:rPr>
      </w:pPr>
      <w:r>
        <w:rPr>
          <w:rFonts w:cs="Times New Roman" w:ascii="Times New Roman" w:hAnsi="Times New Roman"/>
          <w:sz w:val="22"/>
          <w:szCs w:val="26"/>
          <w:vertAlign w:val="superscript"/>
          <w:lang w:val="uk-UA" w:eastAsia="ru-RU" w:bidi="ar-SA"/>
        </w:rPr>
      </w:r>
    </w:p>
    <w:p>
      <w:pPr>
        <w:sectPr>
          <w:headerReference w:type="default" r:id="rId4"/>
          <w:type w:val="nextPage"/>
          <w:pgSz w:orient="landscape" w:w="16838" w:h="11906"/>
          <w:pgMar w:left="851" w:right="539" w:header="0" w:top="899" w:footer="0" w:bottom="709" w:gutter="0"/>
          <w:pgNumType w:fmt="decimal"/>
          <w:formProt w:val="false"/>
          <w:textDirection w:val="lrTb"/>
          <w:docGrid w:type="default" w:linePitch="360" w:charSpace="0"/>
        </w:sectPr>
        <w:pStyle w:val="Style15"/>
        <w:rPr>
          <w:lang w:val="uk-UA" w:bidi="ar-SA"/>
        </w:rPr>
      </w:pPr>
      <w:r>
        <w:rPr>
          <w:lang w:val="uk-UA" w:bidi="ar-SA"/>
        </w:rPr>
        <w:br/>
      </w:r>
    </w:p>
    <w:p>
      <w:pPr>
        <w:pStyle w:val="Normal"/>
        <w:bidi w:val="0"/>
        <w:spacing w:lineRule="auto" w:line="240" w:before="0" w:after="0"/>
        <w:jc w:val="center"/>
        <w:rPr>
          <w:rFonts w:ascii="Times New Roman" w:hAnsi="Times New Roman"/>
          <w:sz w:val="26"/>
          <w:szCs w:val="26"/>
        </w:rPr>
      </w:pPr>
      <w:r>
        <w:rPr>
          <w:b/>
          <w:bCs/>
          <w:color w:val="000000"/>
          <w:spacing w:val="34"/>
          <w:sz w:val="24"/>
          <w:szCs w:val="24"/>
          <w:lang w:val="uk-UA" w:bidi="ar-SA"/>
        </w:rPr>
        <w:t>Відповідність вулиць та провулків зонам Покровської міської територіальної громади Дніпропетровської області</w:t>
      </w:r>
    </w:p>
    <w:tbl>
      <w:tblPr>
        <w:tblW w:w="9639" w:type="dxa"/>
        <w:jc w:val="left"/>
        <w:tblInd w:w="6" w:type="dxa"/>
        <w:tblLayout w:type="fixed"/>
        <w:tblCellMar>
          <w:top w:w="0" w:type="dxa"/>
          <w:left w:w="68" w:type="dxa"/>
          <w:bottom w:w="0" w:type="dxa"/>
          <w:right w:w="108" w:type="dxa"/>
        </w:tblCellMar>
        <w:tblLook w:firstRow="0" w:noVBand="0" w:lastRow="0" w:firstColumn="0" w:lastColumn="0" w:noHBand="0" w:val="0000"/>
      </w:tblPr>
      <w:tblGrid>
        <w:gridCol w:w="840"/>
        <w:gridCol w:w="8798"/>
      </w:tblGrid>
      <w:tr>
        <w:trPr/>
        <w:tc>
          <w:tcPr>
            <w:tcW w:w="840" w:type="dxa"/>
            <w:tcBorders>
              <w:top w:val="single" w:sz="4" w:space="0" w:color="000001"/>
              <w:left w:val="single" w:sz="4" w:space="0" w:color="000001"/>
              <w:bottom w:val="single" w:sz="4" w:space="0" w:color="000001"/>
            </w:tcBorders>
            <w:shd w:fill="auto" w:val="clear"/>
          </w:tcPr>
          <w:p>
            <w:pPr>
              <w:pStyle w:val="Normal"/>
              <w:widowControl w:val="false"/>
              <w:tabs>
                <w:tab w:val="clear" w:pos="706"/>
                <w:tab w:val="left" w:pos="6165" w:leader="none"/>
              </w:tabs>
              <w:spacing w:lineRule="auto" w:line="240" w:before="120" w:after="0"/>
              <w:jc w:val="center"/>
              <w:rPr>
                <w:color w:val="000000"/>
              </w:rPr>
            </w:pPr>
            <w:r>
              <w:rPr>
                <w:color w:val="000000"/>
                <w:sz w:val="24"/>
                <w:szCs w:val="24"/>
              </w:rPr>
              <w:t>Зона</w:t>
            </w:r>
          </w:p>
        </w:tc>
        <w:tc>
          <w:tcPr>
            <w:tcW w:w="879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6"/>
                <w:tab w:val="left" w:pos="6165" w:leader="none"/>
              </w:tabs>
              <w:spacing w:lineRule="auto" w:line="240" w:before="120" w:after="0"/>
              <w:jc w:val="center"/>
              <w:rPr>
                <w:color w:val="000000"/>
              </w:rPr>
            </w:pPr>
            <w:r>
              <w:rPr>
                <w:color w:val="000000"/>
                <w:sz w:val="24"/>
                <w:szCs w:val="24"/>
              </w:rPr>
              <w:t>Перелік вулиць та провулків</w:t>
            </w:r>
          </w:p>
        </w:tc>
      </w:tr>
      <w:tr>
        <w:trPr/>
        <w:tc>
          <w:tcPr>
            <w:tcW w:w="840" w:type="dxa"/>
            <w:tcBorders>
              <w:top w:val="single" w:sz="4" w:space="0" w:color="000001"/>
              <w:left w:val="single" w:sz="4" w:space="0" w:color="000001"/>
              <w:bottom w:val="single" w:sz="4" w:space="0" w:color="000001"/>
            </w:tcBorders>
            <w:shd w:fill="auto" w:val="clear"/>
            <w:vAlign w:val="center"/>
          </w:tcPr>
          <w:p>
            <w:pPr>
              <w:pStyle w:val="Normal"/>
              <w:widowControl w:val="false"/>
              <w:tabs>
                <w:tab w:val="clear" w:pos="706"/>
                <w:tab w:val="left" w:pos="6165" w:leader="none"/>
              </w:tabs>
              <w:spacing w:lineRule="auto" w:line="240" w:before="120" w:after="0"/>
              <w:jc w:val="center"/>
              <w:rPr>
                <w:color w:val="000000"/>
              </w:rPr>
            </w:pPr>
            <w:r>
              <w:rPr>
                <w:color w:val="000000"/>
                <w:sz w:val="24"/>
                <w:szCs w:val="24"/>
              </w:rPr>
              <w:t>1 - центральна</w:t>
            </w:r>
          </w:p>
        </w:tc>
        <w:tc>
          <w:tcPr>
            <w:tcW w:w="879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6"/>
                <w:tab w:val="left" w:pos="6165" w:leader="none"/>
              </w:tabs>
              <w:spacing w:lineRule="auto" w:line="240" w:before="120" w:after="0"/>
              <w:jc w:val="both"/>
              <w:rPr>
                <w:color w:val="000000"/>
              </w:rPr>
            </w:pPr>
            <w:r>
              <w:rPr>
                <w:color w:val="000000"/>
                <w:sz w:val="24"/>
                <w:szCs w:val="24"/>
              </w:rPr>
              <w:t>вулиці: Благодатна, Виборзька, Гагаріна, Героїв України, Героїв Чорнобиля, Глінки, Горького, Дніпровська, Заводська, Затишна, Західна, Зонова, Курчатова, Матросова, Медична, Незалежності, Освіти, Партизанська, Південна міська, Північна, Північно-промислова, Підстепна, Пляжна, Пушкіна, Середи Григорія, Соборна, Тикви Григорія, Титова, Торгова, Уральська, Хмельницького Богдана, Центральна, Чайкіної Лізи, Чайковського, Чехова, Чіатурська, Шатохина, Ясна</w:t>
            </w:r>
          </w:p>
          <w:p>
            <w:pPr>
              <w:pStyle w:val="Normal"/>
              <w:widowControl w:val="false"/>
              <w:tabs>
                <w:tab w:val="clear" w:pos="706"/>
                <w:tab w:val="left" w:pos="6165" w:leader="none"/>
              </w:tabs>
              <w:spacing w:lineRule="auto" w:line="240" w:before="120" w:after="0"/>
              <w:jc w:val="both"/>
              <w:rPr>
                <w:color w:val="000000"/>
              </w:rPr>
            </w:pPr>
            <w:r>
              <w:rPr>
                <w:color w:val="000000"/>
                <w:sz w:val="24"/>
                <w:szCs w:val="24"/>
              </w:rPr>
              <w:t>провулки:  Пушкіна, Титова, Ушакова</w:t>
            </w:r>
          </w:p>
        </w:tc>
      </w:tr>
      <w:tr>
        <w:trPr>
          <w:trHeight w:val="4615" w:hRule="atLeast"/>
        </w:trPr>
        <w:tc>
          <w:tcPr>
            <w:tcW w:w="840" w:type="dxa"/>
            <w:tcBorders>
              <w:top w:val="single" w:sz="4" w:space="0" w:color="000001"/>
              <w:left w:val="single" w:sz="4" w:space="0" w:color="000001"/>
              <w:bottom w:val="single" w:sz="4" w:space="0" w:color="000001"/>
            </w:tcBorders>
            <w:shd w:fill="auto" w:val="clear"/>
            <w:vAlign w:val="center"/>
          </w:tcPr>
          <w:p>
            <w:pPr>
              <w:pStyle w:val="Normal"/>
              <w:widowControl w:val="false"/>
              <w:tabs>
                <w:tab w:val="clear" w:pos="706"/>
                <w:tab w:val="left" w:pos="6165" w:leader="none"/>
              </w:tabs>
              <w:spacing w:lineRule="auto" w:line="240" w:before="120" w:after="0"/>
              <w:jc w:val="center"/>
              <w:rPr>
                <w:color w:val="000000"/>
              </w:rPr>
            </w:pPr>
            <w:r>
              <w:rPr>
                <w:color w:val="000000"/>
                <w:sz w:val="24"/>
                <w:szCs w:val="24"/>
              </w:rPr>
              <w:t>2 - середня</w:t>
            </w:r>
          </w:p>
        </w:tc>
        <w:tc>
          <w:tcPr>
            <w:tcW w:w="879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6"/>
                <w:tab w:val="left" w:pos="6165" w:leader="none"/>
              </w:tabs>
              <w:spacing w:lineRule="auto" w:line="240" w:before="120" w:after="0"/>
              <w:jc w:val="both"/>
              <w:rPr>
                <w:color w:val="000000"/>
              </w:rPr>
            </w:pPr>
            <w:r>
              <w:rPr>
                <w:color w:val="000000"/>
                <w:sz w:val="24"/>
                <w:szCs w:val="24"/>
              </w:rPr>
              <w:t>вулиці: Базавлуцька, Балкова, Бункерна, Вишнева, Водопровідна, Волгоградська, Гастелла, Гірницька, Гоголя, Громової Уляни, Грушевського, Гудзя, Дружби, Іллюшина, Калинова, Каховська, Київська, Клубна, Кобзарська, Кожедуба, Козацька, Короленка, Космонавтів, Кримська, Кутузова, Лумумби Патріса, Малки Івана, Мелітопольська, Мічуріна, Набережна, Нова, Новосельська, Олександрівська, Орлика Пилипа, Павлова, Панфілова, Паркова, Петропавлівська, Першотравнева, Південна, Підгорна, Праці, П’ятихатки, Робітнича, Руднічна, Садова, Севастопольська, Симонова, Скіфська, Слов’янська, Сонячна, Суворова, Твардовського, Тімірязєва, Транспортна, Трудова, Тургенєва, Фабрична, Червоного Хреста, Чернишевського, Чкалова, Чуйкова, Шахтна, Шевченка, Шкільна, Шляхова, Шмідта, Шолохівська, Юності,</w:t>
            </w:r>
          </w:p>
          <w:p>
            <w:pPr>
              <w:pStyle w:val="Normal"/>
              <w:widowControl w:val="false"/>
              <w:tabs>
                <w:tab w:val="clear" w:pos="706"/>
                <w:tab w:val="left" w:pos="6165" w:leader="none"/>
              </w:tabs>
              <w:spacing w:lineRule="auto" w:line="240" w:before="120" w:after="0"/>
              <w:jc w:val="both"/>
              <w:rPr>
                <w:color w:val="000000"/>
              </w:rPr>
            </w:pPr>
            <w:r>
              <w:rPr>
                <w:color w:val="000000"/>
                <w:sz w:val="24"/>
                <w:szCs w:val="24"/>
              </w:rPr>
              <w:t>провулки: Алтайський, Будівельний, Депутатський, Довженка, Зелений, Знам’янський, Зоряний, Ковпака, Молодіжний, Парковий, Полтавський, Польовий, Поштовий, Річковий, Сірка, Тихий, Універсальний, Яворницького</w:t>
            </w:r>
          </w:p>
          <w:p>
            <w:pPr>
              <w:pStyle w:val="Normal"/>
              <w:widowControl w:val="false"/>
              <w:tabs>
                <w:tab w:val="clear" w:pos="706"/>
                <w:tab w:val="left" w:pos="6165" w:leader="none"/>
              </w:tabs>
              <w:spacing w:lineRule="auto" w:line="240" w:before="120" w:after="0"/>
              <w:jc w:val="both"/>
              <w:rPr>
                <w:color w:val="000000"/>
              </w:rPr>
            </w:pPr>
            <w:r>
              <w:rPr>
                <w:b/>
                <w:color w:val="000000"/>
                <w:sz w:val="24"/>
                <w:szCs w:val="24"/>
              </w:rPr>
              <w:t>смт.Чортомлик</w:t>
            </w:r>
            <w:r>
              <w:rPr>
                <w:color w:val="000000"/>
                <w:sz w:val="24"/>
                <w:szCs w:val="24"/>
              </w:rPr>
              <w:t xml:space="preserve"> вулиці: Аграрна, Айвазовського, Бородіно, Вокзальна, Гризодубової, Залізнична, Зелена, Зустрічна, Історична, Комарова, Мирного Панаса, Миру, Молодогвардійська, Мостова, Нахімова, Осипенко Поліни, Перевальна, Серьогіна, Сєрова, Сірка Івана, Станційна, Теплична, Українська, Українки Лесі, Чортомлицька, 8 Березня,  провулок Серьогіна</w:t>
            </w:r>
          </w:p>
          <w:p>
            <w:pPr>
              <w:pStyle w:val="Normal"/>
              <w:widowControl w:val="false"/>
              <w:tabs>
                <w:tab w:val="clear" w:pos="706"/>
                <w:tab w:val="left" w:pos="6165" w:leader="none"/>
              </w:tabs>
              <w:spacing w:lineRule="auto" w:line="240" w:before="0" w:after="0"/>
              <w:jc w:val="both"/>
              <w:rPr>
                <w:color w:val="000000"/>
                <w:sz w:val="24"/>
                <w:szCs w:val="24"/>
              </w:rPr>
            </w:pPr>
            <w:r>
              <w:rPr>
                <w:color w:val="000000"/>
                <w:sz w:val="24"/>
                <w:szCs w:val="24"/>
              </w:rPr>
            </w:r>
          </w:p>
          <w:p>
            <w:pPr>
              <w:pStyle w:val="Normal"/>
              <w:widowControl w:val="false"/>
              <w:tabs>
                <w:tab w:val="clear" w:pos="706"/>
                <w:tab w:val="left" w:pos="6165" w:leader="none"/>
              </w:tabs>
              <w:spacing w:lineRule="auto" w:line="240" w:before="0" w:after="0"/>
              <w:jc w:val="both"/>
              <w:rPr>
                <w:color w:val="000000"/>
              </w:rPr>
            </w:pPr>
            <w:r>
              <w:rPr>
                <w:b/>
                <w:color w:val="000000"/>
                <w:sz w:val="24"/>
                <w:szCs w:val="24"/>
                <w:shd w:fill="auto" w:val="clear"/>
              </w:rPr>
              <w:t>с.Шолохове</w:t>
            </w:r>
            <w:r>
              <w:rPr>
                <w:color w:val="000000"/>
                <w:sz w:val="24"/>
                <w:szCs w:val="24"/>
                <w:shd w:fill="auto" w:val="clear"/>
              </w:rPr>
              <w:t xml:space="preserve"> вулиці: 40 років Перемоги, Базарна, Висока, Вишнева, Гірна, Дальня, Дорожна, Зарічна, Затишна, Зелена, Зоряна, Козацька, Кооперативна, Котляревського Івана, Кренкеля, Тикви Марії, Осипенка, Папаніна, Польова, Поштова, Пушкаря, Пушкіна, Раскової М., Садова, Світла, Сірко І., Соборна, Сонячна, Степова, Таврійська, Федорова, Франка Івана, Чуйкова, Шевченко, Шкільна, Ярова, Центральна, Ломана, Максимчука, Мирна, Молдавська, Молодіжна, Набережна, Лікарняна;</w:t>
            </w:r>
          </w:p>
          <w:p>
            <w:pPr>
              <w:pStyle w:val="Normal"/>
              <w:widowControl w:val="false"/>
              <w:tabs>
                <w:tab w:val="clear" w:pos="706"/>
                <w:tab w:val="left" w:pos="6165" w:leader="none"/>
              </w:tabs>
              <w:spacing w:lineRule="auto" w:line="240" w:before="0" w:after="0"/>
              <w:jc w:val="both"/>
              <w:rPr>
                <w:color w:val="000000"/>
              </w:rPr>
            </w:pPr>
            <w:r>
              <w:rPr>
                <w:color w:val="000000"/>
                <w:sz w:val="24"/>
                <w:szCs w:val="24"/>
                <w:shd w:fill="auto" w:val="clear"/>
              </w:rPr>
              <w:t>провулки: Вільний, Крутий, Ломаний, Прямий.</w:t>
            </w:r>
          </w:p>
        </w:tc>
      </w:tr>
      <w:tr>
        <w:trPr/>
        <w:tc>
          <w:tcPr>
            <w:tcW w:w="840" w:type="dxa"/>
            <w:tcBorders>
              <w:top w:val="single" w:sz="4" w:space="0" w:color="000001"/>
              <w:left w:val="single" w:sz="4" w:space="0" w:color="000001"/>
              <w:bottom w:val="single" w:sz="4" w:space="0" w:color="000001"/>
            </w:tcBorders>
            <w:shd w:fill="auto" w:val="clear"/>
            <w:vAlign w:val="center"/>
          </w:tcPr>
          <w:p>
            <w:pPr>
              <w:pStyle w:val="Normal"/>
              <w:widowControl w:val="false"/>
              <w:tabs>
                <w:tab w:val="clear" w:pos="706"/>
                <w:tab w:val="left" w:pos="6165" w:leader="none"/>
              </w:tabs>
              <w:spacing w:lineRule="auto" w:line="240" w:before="120" w:after="0"/>
              <w:jc w:val="center"/>
              <w:rPr>
                <w:color w:val="000000"/>
              </w:rPr>
            </w:pPr>
            <w:r>
              <w:rPr>
                <w:color w:val="000000"/>
                <w:sz w:val="24"/>
                <w:szCs w:val="24"/>
              </w:rPr>
              <w:t>3 - периферійна</w:t>
            </w:r>
          </w:p>
        </w:tc>
        <w:tc>
          <w:tcPr>
            <w:tcW w:w="8798" w:type="dxa"/>
            <w:tcBorders>
              <w:top w:val="single" w:sz="4" w:space="0" w:color="000001"/>
              <w:left w:val="single" w:sz="4" w:space="0" w:color="000001"/>
              <w:bottom w:val="single" w:sz="4" w:space="0" w:color="000001"/>
              <w:right w:val="single" w:sz="4" w:space="0" w:color="000001"/>
            </w:tcBorders>
            <w:shd w:color="auto" w:fill="FFFFFF" w:themeFill="background1" w:val="clear"/>
          </w:tcPr>
          <w:p>
            <w:pPr>
              <w:pStyle w:val="Normal"/>
              <w:widowControl w:val="false"/>
              <w:tabs>
                <w:tab w:val="clear" w:pos="706"/>
                <w:tab w:val="left" w:pos="6165" w:leader="none"/>
              </w:tabs>
              <w:spacing w:lineRule="auto" w:line="240" w:before="0" w:after="0"/>
              <w:jc w:val="both"/>
              <w:rPr>
                <w:color w:val="000000"/>
              </w:rPr>
            </w:pPr>
            <w:r>
              <w:rPr>
                <w:b/>
                <w:color w:val="000000"/>
                <w:sz w:val="24"/>
                <w:szCs w:val="24"/>
              </w:rPr>
              <w:t>смт.Гірницьке</w:t>
            </w:r>
            <w:r>
              <w:rPr>
                <w:color w:val="000000"/>
                <w:sz w:val="24"/>
                <w:szCs w:val="24"/>
              </w:rPr>
              <w:t xml:space="preserve"> вулиці: Армійська, Братська, Ватутіна, Карбишева, Ломоносова, Маяковського, Нижня, Привокзальна, Репіна, Свободи, Фермерська, Франка Івана, Шахтарська</w:t>
            </w:r>
          </w:p>
          <w:p>
            <w:pPr>
              <w:pStyle w:val="Normal"/>
              <w:widowControl w:val="false"/>
              <w:tabs>
                <w:tab w:val="clear" w:pos="706"/>
                <w:tab w:val="left" w:pos="6165" w:leader="none"/>
              </w:tabs>
              <w:spacing w:lineRule="auto" w:line="240" w:before="0" w:after="0"/>
              <w:jc w:val="both"/>
              <w:rPr>
                <w:color w:val="000000"/>
              </w:rPr>
            </w:pPr>
            <w:r>
              <w:rPr>
                <w:b/>
                <w:color w:val="000000"/>
                <w:sz w:val="24"/>
                <w:szCs w:val="24"/>
              </w:rPr>
              <w:t>с.П.Хутори</w:t>
            </w:r>
            <w:r>
              <w:rPr>
                <w:color w:val="000000"/>
                <w:sz w:val="24"/>
                <w:szCs w:val="24"/>
              </w:rPr>
              <w:t xml:space="preserve"> вулиці: Абрикосова, Грибоєдова, Дідика, Добролюбова, Запорізька, Кошового, Крилова, Лермонтова, Перевізна, Печерського, Чумацька, провулок Степовий</w:t>
            </w:r>
          </w:p>
          <w:p>
            <w:pPr>
              <w:pStyle w:val="Normal"/>
              <w:widowControl w:val="false"/>
              <w:tabs>
                <w:tab w:val="clear" w:pos="706"/>
                <w:tab w:val="left" w:pos="6165" w:leader="none"/>
              </w:tabs>
              <w:spacing w:lineRule="auto" w:line="240" w:before="0" w:after="0"/>
              <w:jc w:val="both"/>
              <w:rPr>
                <w:color w:val="000000"/>
              </w:rPr>
            </w:pPr>
            <w:r>
              <w:rPr>
                <w:b/>
                <w:color w:val="000000"/>
                <w:sz w:val="24"/>
                <w:szCs w:val="24"/>
              </w:rPr>
              <w:t xml:space="preserve">с. Миронівка </w:t>
            </w:r>
            <w:r>
              <w:rPr>
                <w:color w:val="000000"/>
                <w:sz w:val="24"/>
                <w:szCs w:val="24"/>
              </w:rPr>
              <w:t>вулиці: Дальня, Набережна, Січова, Шевченко, Садова, Шкільна, Зарічна, Матросова;</w:t>
            </w:r>
          </w:p>
          <w:p>
            <w:pPr>
              <w:pStyle w:val="Normal"/>
              <w:widowControl w:val="false"/>
              <w:tabs>
                <w:tab w:val="clear" w:pos="706"/>
                <w:tab w:val="left" w:pos="6165" w:leader="none"/>
              </w:tabs>
              <w:spacing w:lineRule="auto" w:line="240" w:before="0" w:after="0"/>
              <w:jc w:val="both"/>
              <w:rPr>
                <w:color w:val="000000"/>
              </w:rPr>
            </w:pPr>
            <w:r>
              <w:rPr>
                <w:color w:val="000000"/>
                <w:sz w:val="24"/>
                <w:szCs w:val="24"/>
              </w:rPr>
              <w:t>провулки: Гагаріна, Матросова, Партизанський, Степовий, Шкільний.</w:t>
            </w:r>
          </w:p>
          <w:p>
            <w:pPr>
              <w:pStyle w:val="Normal"/>
              <w:widowControl w:val="false"/>
              <w:tabs>
                <w:tab w:val="clear" w:pos="706"/>
                <w:tab w:val="left" w:pos="6165" w:leader="none"/>
              </w:tabs>
              <w:spacing w:lineRule="auto" w:line="240" w:before="0" w:after="0"/>
              <w:jc w:val="both"/>
              <w:rPr>
                <w:color w:val="000000"/>
              </w:rPr>
            </w:pPr>
            <w:r>
              <w:rPr>
                <w:b/>
                <w:color w:val="000000"/>
                <w:sz w:val="24"/>
                <w:szCs w:val="24"/>
              </w:rPr>
              <w:t>с.Улянівка</w:t>
            </w:r>
            <w:r>
              <w:rPr>
                <w:color w:val="000000"/>
                <w:sz w:val="24"/>
                <w:szCs w:val="24"/>
              </w:rPr>
              <w:t xml:space="preserve"> вулиці: Гагаріна, Чкалова</w:t>
            </w:r>
          </w:p>
        </w:tc>
      </w:tr>
    </w:tbl>
    <w:p>
      <w:pPr>
        <w:pStyle w:val="Normal"/>
        <w:tabs>
          <w:tab w:val="clear" w:pos="706"/>
          <w:tab w:val="left" w:pos="6165" w:leader="none"/>
        </w:tabs>
        <w:spacing w:lineRule="auto" w:line="240" w:before="120" w:after="0"/>
        <w:jc w:val="both"/>
        <w:rPr>
          <w:color w:val="000000"/>
        </w:rPr>
      </w:pPr>
      <w:r>
        <w:rPr>
          <w:color w:val="000000"/>
        </w:rPr>
      </w:r>
    </w:p>
    <w:p>
      <w:pPr>
        <w:pStyle w:val="Normal"/>
        <w:tabs>
          <w:tab w:val="clear" w:pos="706"/>
          <w:tab w:val="left" w:pos="6165" w:leader="none"/>
        </w:tabs>
        <w:spacing w:lineRule="auto" w:line="240" w:before="120" w:after="0"/>
        <w:jc w:val="both"/>
        <w:rPr>
          <w:sz w:val="24"/>
          <w:szCs w:val="24"/>
        </w:rPr>
      </w:pPr>
      <w:r>
        <w:rPr>
          <w:rFonts w:cs="Times New Roman"/>
          <w:b w:val="false"/>
          <w:bCs w:val="false"/>
          <w:color w:val="000000"/>
          <w:position w:val="0"/>
          <w:sz w:val="24"/>
          <w:sz w:val="24"/>
          <w:szCs w:val="24"/>
          <w:vertAlign w:val="baseline"/>
          <w:lang w:val="uk-UA" w:eastAsia="ru-RU"/>
        </w:rPr>
        <w:t>Начальник відділу економіки</w:t>
        <w:tab/>
        <w:tab/>
        <w:tab/>
        <w:tab/>
        <w:t xml:space="preserve">Т.В. </w:t>
      </w:r>
      <w:r>
        <w:rPr>
          <w:rFonts w:eastAsia="Calibri" w:cs="Times New Roman"/>
          <w:b w:val="false"/>
          <w:bCs w:val="false"/>
          <w:color w:val="000000"/>
          <w:kern w:val="0"/>
          <w:position w:val="0"/>
          <w:sz w:val="24"/>
          <w:sz w:val="24"/>
          <w:szCs w:val="24"/>
          <w:vertAlign w:val="baseline"/>
          <w:lang w:val="uk-UA" w:eastAsia="zh-CN" w:bidi="ar-SA"/>
        </w:rPr>
        <w:t>Сідашова</w:t>
      </w:r>
    </w:p>
    <w:p>
      <w:pPr>
        <w:pStyle w:val="Normal"/>
        <w:spacing w:lineRule="auto" w:line="240" w:before="0" w:after="0"/>
        <w:ind w:left="5954" w:hanging="0"/>
        <w:rPr>
          <w:rFonts w:ascii="Times New Roman" w:hAnsi="Times New Roman"/>
          <w:sz w:val="26"/>
          <w:szCs w:val="26"/>
        </w:rPr>
      </w:pPr>
      <w:r>
        <w:rPr>
          <w:sz w:val="26"/>
          <w:szCs w:val="26"/>
        </w:rPr>
      </w:r>
    </w:p>
    <w:p>
      <w:pPr>
        <w:pStyle w:val="Normal"/>
        <w:spacing w:lineRule="auto" w:line="240" w:before="0" w:after="0"/>
        <w:ind w:left="5954" w:hanging="0"/>
        <w:rPr>
          <w:sz w:val="22"/>
          <w:szCs w:val="22"/>
        </w:rPr>
      </w:pPr>
      <w:r>
        <w:rPr>
          <w:sz w:val="22"/>
          <w:szCs w:val="22"/>
        </w:rPr>
        <w:tab/>
        <w:t xml:space="preserve">Додаток  2 </w:t>
      </w:r>
    </w:p>
    <w:p>
      <w:pPr>
        <w:pStyle w:val="Normal"/>
        <w:spacing w:lineRule="auto" w:line="240" w:before="0" w:after="0"/>
        <w:ind w:left="5954" w:hanging="0"/>
        <w:rPr>
          <w:sz w:val="22"/>
          <w:szCs w:val="22"/>
        </w:rPr>
      </w:pPr>
      <w:r>
        <w:rPr>
          <w:sz w:val="22"/>
          <w:szCs w:val="22"/>
        </w:rPr>
        <w:tab/>
        <w:t xml:space="preserve">до рішення 9 сесії </w:t>
      </w:r>
      <w:r>
        <w:rPr>
          <w:rFonts w:eastAsia="Calibri" w:cs="Times New Roman"/>
          <w:color w:val="00000A"/>
          <w:kern w:val="0"/>
          <w:sz w:val="22"/>
          <w:szCs w:val="22"/>
          <w:lang w:val="uk-UA" w:eastAsia="zh-CN" w:bidi="ar-SA"/>
        </w:rPr>
        <w:t>8</w:t>
      </w:r>
      <w:r>
        <w:rPr>
          <w:sz w:val="22"/>
          <w:szCs w:val="22"/>
        </w:rPr>
        <w:t xml:space="preserve"> скликання</w:t>
      </w:r>
    </w:p>
    <w:p>
      <w:pPr>
        <w:pStyle w:val="Normal"/>
        <w:widowControl/>
        <w:suppressAutoHyphens w:val="true"/>
        <w:bidi w:val="0"/>
        <w:spacing w:lineRule="auto" w:line="216" w:before="0" w:after="113"/>
        <w:ind w:left="0" w:right="0" w:hanging="0"/>
        <w:jc w:val="left"/>
        <w:rPr>
          <w:rFonts w:ascii="Times New Roman" w:hAnsi="Times New Roman"/>
          <w:sz w:val="26"/>
          <w:szCs w:val="26"/>
        </w:rPr>
      </w:pPr>
      <w:r>
        <w:rPr>
          <w:rFonts w:cs="Times New Roman"/>
          <w:sz w:val="24"/>
          <w:szCs w:val="24"/>
          <w:lang w:val="uk-UA" w:bidi="ar-SA"/>
        </w:rPr>
        <w:tab/>
        <w:tab/>
        <w:tab/>
        <w:tab/>
        <w:tab/>
        <w:tab/>
        <w:tab/>
        <w:tab/>
        <w:tab/>
      </w:r>
      <w:r>
        <w:rPr>
          <w:rFonts w:eastAsia="Andale Sans UI;Arial Unicode MS" w:cs="Times New Roman"/>
          <w:color w:val="auto"/>
          <w:kern w:val="2"/>
          <w:sz w:val="22"/>
          <w:szCs w:val="22"/>
          <w:lang w:val="uk-UA" w:eastAsia="zxx" w:bidi="ar-SA"/>
        </w:rPr>
        <w:t xml:space="preserve">30  червня   </w:t>
      </w:r>
      <w:r>
        <w:rPr>
          <w:rFonts w:cs="Times New Roman"/>
          <w:sz w:val="22"/>
          <w:szCs w:val="22"/>
          <w:lang w:val="uk-UA" w:bidi="ar-SA"/>
        </w:rPr>
        <w:t xml:space="preserve">2021р.  № </w:t>
      </w:r>
      <w:r>
        <w:rPr>
          <w:rFonts w:eastAsia="Andale Sans UI;Arial Unicode MS" w:cs="Times New Roman"/>
          <w:color w:val="auto"/>
          <w:kern w:val="2"/>
          <w:sz w:val="22"/>
          <w:szCs w:val="22"/>
          <w:lang w:val="en-US" w:eastAsia="zxx" w:bidi="ar-SA"/>
        </w:rPr>
        <w:t>3</w:t>
      </w:r>
    </w:p>
    <w:p>
      <w:pPr>
        <w:pStyle w:val="Normal"/>
        <w:widowControl/>
        <w:suppressAutoHyphens w:val="true"/>
        <w:bidi w:val="0"/>
        <w:spacing w:lineRule="auto" w:line="216" w:before="0" w:after="113"/>
        <w:ind w:left="0" w:right="0" w:hanging="0"/>
        <w:jc w:val="left"/>
        <w:rPr>
          <w:rFonts w:ascii="Times New Roman" w:hAnsi="Times New Roman"/>
          <w:sz w:val="26"/>
          <w:szCs w:val="26"/>
        </w:rPr>
      </w:pPr>
      <w:r>
        <w:rPr>
          <w:sz w:val="26"/>
          <w:szCs w:val="26"/>
        </w:rPr>
      </w:r>
    </w:p>
    <w:p>
      <w:pPr>
        <w:pStyle w:val="Style23"/>
        <w:spacing w:before="57" w:after="57"/>
        <w:rPr>
          <w:sz w:val="22"/>
          <w:szCs w:val="22"/>
        </w:rPr>
      </w:pPr>
      <w:r>
        <w:rPr>
          <w:rFonts w:cs="Times New Roman" w:ascii="Times New Roman" w:hAnsi="Times New Roman"/>
          <w:sz w:val="22"/>
          <w:szCs w:val="22"/>
        </w:rPr>
        <w:t>ПЕРЕЛІК</w:t>
        <w:br/>
        <w:t xml:space="preserve">пільг для фізичних та юридичних осіб, наданих відповідно до підпункту 266.4.2 пункту 266.4 статті 266 Податкового кодексу України, із сплати податку на нерухоме майно, відмінне від земельної ділянки </w:t>
      </w:r>
      <w:r>
        <w:rPr>
          <w:rFonts w:cs="Times New Roman" w:ascii="Times New Roman" w:hAnsi="Times New Roman"/>
          <w:sz w:val="22"/>
          <w:szCs w:val="22"/>
          <w:vertAlign w:val="superscript"/>
        </w:rPr>
        <w:t>1</w:t>
      </w:r>
    </w:p>
    <w:p>
      <w:pPr>
        <w:pStyle w:val="Style24"/>
        <w:spacing w:lineRule="auto" w:line="240" w:before="0" w:after="0"/>
        <w:jc w:val="both"/>
        <w:rPr>
          <w:sz w:val="22"/>
          <w:szCs w:val="22"/>
        </w:rPr>
      </w:pPr>
      <w:r>
        <w:rPr>
          <w:sz w:val="22"/>
          <w:szCs w:val="22"/>
        </w:rPr>
      </w:r>
    </w:p>
    <w:p>
      <w:pPr>
        <w:pStyle w:val="Style24"/>
        <w:spacing w:before="0" w:after="0"/>
        <w:jc w:val="both"/>
        <w:rPr>
          <w:sz w:val="22"/>
          <w:szCs w:val="22"/>
        </w:rPr>
      </w:pPr>
      <w:r>
        <w:rPr>
          <w:rFonts w:cs="Times New Roman" w:ascii="Times New Roman" w:hAnsi="Times New Roman"/>
          <w:sz w:val="22"/>
          <w:szCs w:val="22"/>
        </w:rPr>
        <w:t>Пільги вводяться в дію з 01 січня 2022 року.</w:t>
      </w:r>
    </w:p>
    <w:p>
      <w:pPr>
        <w:pStyle w:val="Style24"/>
        <w:spacing w:before="0" w:after="0"/>
        <w:jc w:val="both"/>
        <w:rPr>
          <w:sz w:val="22"/>
          <w:szCs w:val="22"/>
        </w:rPr>
      </w:pPr>
      <w:r>
        <w:rPr>
          <w:rFonts w:cs="Times New Roman" w:ascii="Times New Roman" w:hAnsi="Times New Roman"/>
          <w:sz w:val="22"/>
          <w:szCs w:val="22"/>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9757" w:type="dxa"/>
        <w:jc w:val="left"/>
        <w:tblInd w:w="-118" w:type="dxa"/>
        <w:tblLayout w:type="fixed"/>
        <w:tblCellMar>
          <w:top w:w="0" w:type="dxa"/>
          <w:left w:w="83" w:type="dxa"/>
          <w:bottom w:w="0" w:type="dxa"/>
          <w:right w:w="108" w:type="dxa"/>
        </w:tblCellMar>
        <w:tblLook w:firstRow="0" w:noVBand="0" w:lastRow="0" w:firstColumn="0" w:lastColumn="0" w:noHBand="0" w:val="0000"/>
      </w:tblPr>
      <w:tblGrid>
        <w:gridCol w:w="2082"/>
        <w:gridCol w:w="1571"/>
        <w:gridCol w:w="1762"/>
        <w:gridCol w:w="4341"/>
      </w:tblGrid>
      <w:tr>
        <w:trPr/>
        <w:tc>
          <w:tcPr>
            <w:tcW w:w="208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120" w:after="0"/>
              <w:ind w:left="0" w:right="0" w:firstLine="28"/>
              <w:jc w:val="center"/>
              <w:rPr>
                <w:rFonts w:ascii="Times New Roman" w:hAnsi="Times New Roman"/>
                <w:sz w:val="22"/>
                <w:szCs w:val="22"/>
              </w:rPr>
            </w:pPr>
            <w:r>
              <w:rPr>
                <w:rFonts w:cs="Times New Roman" w:ascii="Times New Roman" w:hAnsi="Times New Roman"/>
                <w:sz w:val="22"/>
                <w:szCs w:val="22"/>
              </w:rPr>
              <w:t>Код області</w:t>
            </w:r>
          </w:p>
        </w:tc>
        <w:tc>
          <w:tcPr>
            <w:tcW w:w="1571"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120" w:after="0"/>
              <w:ind w:left="0" w:right="0" w:firstLine="28"/>
              <w:jc w:val="center"/>
              <w:rPr>
                <w:rFonts w:ascii="Times New Roman" w:hAnsi="Times New Roman"/>
                <w:sz w:val="22"/>
                <w:szCs w:val="22"/>
              </w:rPr>
            </w:pPr>
            <w:r>
              <w:rPr>
                <w:rFonts w:cs="Times New Roman" w:ascii="Times New Roman" w:hAnsi="Times New Roman"/>
                <w:sz w:val="22"/>
                <w:szCs w:val="22"/>
              </w:rPr>
              <w:t>Код району</w:t>
            </w:r>
          </w:p>
        </w:tc>
        <w:tc>
          <w:tcPr>
            <w:tcW w:w="176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120" w:after="0"/>
              <w:ind w:left="0" w:right="0" w:firstLine="28"/>
              <w:jc w:val="center"/>
              <w:rPr>
                <w:rFonts w:ascii="Times New Roman" w:hAnsi="Times New Roman"/>
                <w:sz w:val="22"/>
                <w:szCs w:val="22"/>
              </w:rPr>
            </w:pPr>
            <w:r>
              <w:rPr>
                <w:rFonts w:cs="Times New Roman" w:ascii="Times New Roman" w:hAnsi="Times New Roman"/>
                <w:sz w:val="22"/>
                <w:szCs w:val="22"/>
              </w:rPr>
              <w:t>Код згідно з КОАТУУ</w:t>
            </w:r>
          </w:p>
        </w:tc>
        <w:tc>
          <w:tcPr>
            <w:tcW w:w="4341"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before="120" w:after="0"/>
              <w:ind w:left="0" w:right="0" w:firstLine="28"/>
              <w:jc w:val="center"/>
              <w:rPr>
                <w:rFonts w:ascii="Times New Roman" w:hAnsi="Times New Roman"/>
                <w:sz w:val="22"/>
                <w:szCs w:val="22"/>
              </w:rPr>
            </w:pPr>
            <w:r>
              <w:rPr>
                <w:rFonts w:cs="Times New Roman" w:ascii="Times New Roman" w:hAnsi="Times New Roman"/>
                <w:sz w:val="22"/>
                <w:szCs w:val="22"/>
              </w:rPr>
              <w:t>Найменування адміністративно-територіальної одиниці</w:t>
              <w:br/>
              <w:t>або населеного пункту, або території об’єднаної територіальної громади</w:t>
            </w:r>
          </w:p>
        </w:tc>
      </w:tr>
      <w:tr>
        <w:trPr/>
        <w:tc>
          <w:tcPr>
            <w:tcW w:w="208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120" w:after="0"/>
              <w:ind w:left="0" w:right="0" w:firstLine="28"/>
              <w:jc w:val="center"/>
              <w:rPr>
                <w:rFonts w:ascii="Times New Roman" w:hAnsi="Times New Roman"/>
                <w:sz w:val="22"/>
                <w:szCs w:val="22"/>
              </w:rPr>
            </w:pPr>
            <w:r>
              <w:rPr>
                <w:rFonts w:cs="Times New Roman" w:ascii="Times New Roman" w:hAnsi="Times New Roman"/>
                <w:sz w:val="22"/>
                <w:szCs w:val="22"/>
              </w:rPr>
              <w:t>04</w:t>
            </w:r>
          </w:p>
        </w:tc>
        <w:tc>
          <w:tcPr>
            <w:tcW w:w="1571"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120" w:after="0"/>
              <w:ind w:left="0" w:right="0" w:firstLine="28"/>
              <w:jc w:val="center"/>
              <w:rPr>
                <w:rFonts w:ascii="Times New Roman" w:hAnsi="Times New Roman"/>
                <w:sz w:val="22"/>
                <w:szCs w:val="22"/>
              </w:rPr>
            </w:pPr>
            <w:r>
              <w:rPr>
                <w:rFonts w:cs="Times New Roman" w:ascii="Times New Roman" w:hAnsi="Times New Roman"/>
                <w:sz w:val="22"/>
                <w:szCs w:val="22"/>
              </w:rPr>
              <w:t>09</w:t>
            </w:r>
          </w:p>
        </w:tc>
        <w:tc>
          <w:tcPr>
            <w:tcW w:w="176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120" w:after="0"/>
              <w:ind w:left="0" w:right="0" w:firstLine="28"/>
              <w:jc w:val="center"/>
              <w:rPr>
                <w:rFonts w:ascii="Times New Roman" w:hAnsi="Times New Roman"/>
                <w:sz w:val="22"/>
                <w:szCs w:val="22"/>
              </w:rPr>
            </w:pPr>
            <w:r>
              <w:rPr>
                <w:rFonts w:cs="Times New Roman" w:ascii="Times New Roman" w:hAnsi="Times New Roman"/>
                <w:sz w:val="22"/>
                <w:szCs w:val="22"/>
              </w:rPr>
              <w:t>1212100000</w:t>
            </w:r>
          </w:p>
        </w:tc>
        <w:tc>
          <w:tcPr>
            <w:tcW w:w="4341"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before="120" w:after="0"/>
              <w:ind w:left="0" w:right="0" w:firstLine="28"/>
              <w:jc w:val="center"/>
              <w:rPr>
                <w:rFonts w:ascii="Times New Roman" w:hAnsi="Times New Roman"/>
                <w:sz w:val="22"/>
                <w:szCs w:val="22"/>
                <w:lang w:val="uk-UA" w:bidi="ar-SA"/>
              </w:rPr>
            </w:pPr>
            <w:r>
              <w:rPr>
                <w:rFonts w:cs="Times New Roman" w:ascii="Times New Roman" w:hAnsi="Times New Roman"/>
                <w:sz w:val="22"/>
                <w:szCs w:val="22"/>
                <w:lang w:val="uk-UA" w:bidi="ar-SA"/>
              </w:rPr>
              <w:t>м. Покров Дніпропетровської області</w:t>
            </w:r>
          </w:p>
        </w:tc>
      </w:tr>
      <w:tr>
        <w:trPr/>
        <w:tc>
          <w:tcPr>
            <w:tcW w:w="208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04</w:t>
            </w:r>
          </w:p>
        </w:tc>
        <w:tc>
          <w:tcPr>
            <w:tcW w:w="1571"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22</w:t>
            </w:r>
          </w:p>
        </w:tc>
        <w:tc>
          <w:tcPr>
            <w:tcW w:w="176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1222987001</w:t>
            </w:r>
          </w:p>
        </w:tc>
        <w:tc>
          <w:tcPr>
            <w:tcW w:w="4341"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lang w:val="uk-UA" w:bidi="ar-SA"/>
              </w:rPr>
            </w:pPr>
            <w:r>
              <w:rPr>
                <w:rFonts w:cs="Times New Roman" w:ascii="Times New Roman" w:hAnsi="Times New Roman"/>
                <w:sz w:val="22"/>
                <w:szCs w:val="22"/>
                <w:lang w:val="uk-UA" w:eastAsia="ru-RU" w:bidi="ar-SA"/>
              </w:rPr>
              <w:t>с.Шолохове Дніпропетровської обл.</w:t>
            </w:r>
          </w:p>
        </w:tc>
      </w:tr>
      <w:tr>
        <w:trPr/>
        <w:tc>
          <w:tcPr>
            <w:tcW w:w="208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04</w:t>
            </w:r>
          </w:p>
        </w:tc>
        <w:tc>
          <w:tcPr>
            <w:tcW w:w="1571"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22</w:t>
            </w:r>
          </w:p>
        </w:tc>
        <w:tc>
          <w:tcPr>
            <w:tcW w:w="176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1222987002</w:t>
            </w:r>
          </w:p>
        </w:tc>
        <w:tc>
          <w:tcPr>
            <w:tcW w:w="4341"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before="0" w:after="200"/>
              <w:ind w:left="0" w:right="0" w:firstLine="34"/>
              <w:jc w:val="center"/>
              <w:rPr>
                <w:sz w:val="22"/>
                <w:szCs w:val="22"/>
                <w:lang w:val="uk-UA" w:bidi="ar-SA"/>
              </w:rPr>
            </w:pPr>
            <w:r>
              <w:rPr>
                <w:rFonts w:cs="Times New Roman" w:ascii="Times New Roman" w:hAnsi="Times New Roman"/>
                <w:sz w:val="22"/>
                <w:szCs w:val="22"/>
                <w:lang w:val="uk-UA" w:eastAsia="ru-RU" w:bidi="ar-SA"/>
              </w:rPr>
              <w:t>с.Миронівка Дніпропетровської обл.</w:t>
            </w:r>
          </w:p>
        </w:tc>
      </w:tr>
      <w:tr>
        <w:trPr/>
        <w:tc>
          <w:tcPr>
            <w:tcW w:w="208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04</w:t>
            </w:r>
          </w:p>
        </w:tc>
        <w:tc>
          <w:tcPr>
            <w:tcW w:w="1571"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22</w:t>
            </w:r>
          </w:p>
        </w:tc>
        <w:tc>
          <w:tcPr>
            <w:tcW w:w="176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1222987003</w:t>
            </w:r>
          </w:p>
        </w:tc>
        <w:tc>
          <w:tcPr>
            <w:tcW w:w="4341"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lang w:val="uk-UA" w:bidi="ar-SA"/>
              </w:rPr>
            </w:pPr>
            <w:r>
              <w:rPr>
                <w:rFonts w:cs="Times New Roman" w:ascii="Times New Roman" w:hAnsi="Times New Roman"/>
                <w:sz w:val="22"/>
                <w:szCs w:val="22"/>
                <w:lang w:val="uk-UA" w:eastAsia="ru-RU" w:bidi="ar-SA"/>
              </w:rPr>
              <w:t>с.Улянівка Дніпропетровської обл</w:t>
            </w:r>
          </w:p>
        </w:tc>
      </w:tr>
    </w:tbl>
    <w:p>
      <w:pPr>
        <w:pStyle w:val="Style24"/>
        <w:jc w:val="both"/>
        <w:rPr>
          <w:rFonts w:ascii="Times New Roman" w:hAnsi="Times New Roman" w:cs="Times New Roman"/>
          <w:sz w:val="22"/>
          <w:szCs w:val="22"/>
        </w:rPr>
      </w:pPr>
      <w:r>
        <w:rPr>
          <w:rFonts w:cs="Times New Roman" w:ascii="Times New Roman" w:hAnsi="Times New Roman"/>
          <w:sz w:val="22"/>
          <w:szCs w:val="22"/>
        </w:rPr>
      </w:r>
    </w:p>
    <w:tbl>
      <w:tblPr>
        <w:tblW w:w="9757" w:type="dxa"/>
        <w:jc w:val="left"/>
        <w:tblInd w:w="-118" w:type="dxa"/>
        <w:tblLayout w:type="fixed"/>
        <w:tblCellMar>
          <w:top w:w="0" w:type="dxa"/>
          <w:left w:w="83" w:type="dxa"/>
          <w:bottom w:w="0" w:type="dxa"/>
          <w:right w:w="108" w:type="dxa"/>
        </w:tblCellMar>
        <w:tblLook w:firstRow="0" w:noVBand="0" w:lastRow="0" w:firstColumn="0" w:lastColumn="0" w:noHBand="0" w:val="0000"/>
      </w:tblPr>
      <w:tblGrid>
        <w:gridCol w:w="7508"/>
        <w:gridCol w:w="2248"/>
      </w:tblGrid>
      <w:tr>
        <w:trPr/>
        <w:tc>
          <w:tcPr>
            <w:tcW w:w="7508"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left="0" w:right="0" w:firstLine="28"/>
              <w:jc w:val="center"/>
              <w:rPr>
                <w:rFonts w:ascii="Times New Roman" w:hAnsi="Times New Roman"/>
                <w:sz w:val="22"/>
                <w:szCs w:val="22"/>
              </w:rPr>
            </w:pPr>
            <w:r>
              <w:rPr>
                <w:rFonts w:cs="Times New Roman" w:ascii="Times New Roman" w:hAnsi="Times New Roman"/>
                <w:sz w:val="22"/>
                <w:szCs w:val="22"/>
              </w:rPr>
              <w:t>Група платників, категорія/класифікація</w:t>
              <w:br/>
              <w:t>будівель та споруд</w:t>
            </w:r>
          </w:p>
        </w:tc>
        <w:tc>
          <w:tcPr>
            <w:tcW w:w="2248"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left="0" w:right="0" w:firstLine="28"/>
              <w:jc w:val="center"/>
              <w:rPr>
                <w:rFonts w:ascii="Times New Roman" w:hAnsi="Times New Roman"/>
                <w:sz w:val="22"/>
                <w:szCs w:val="22"/>
              </w:rPr>
            </w:pPr>
            <w:r>
              <w:rPr>
                <w:rFonts w:cs="Times New Roman" w:ascii="Times New Roman" w:hAnsi="Times New Roman"/>
                <w:sz w:val="22"/>
                <w:szCs w:val="22"/>
              </w:rPr>
              <w:t>Розмір пільги</w:t>
              <w:br/>
              <w:t>(відсотків суми податкового зобов’язання за рік)</w:t>
            </w:r>
          </w:p>
        </w:tc>
      </w:tr>
      <w:tr>
        <w:trPr>
          <w:trHeight w:val="785" w:hRule="atLeast"/>
        </w:trPr>
        <w:tc>
          <w:tcPr>
            <w:tcW w:w="7508"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left="0" w:right="0" w:firstLine="28"/>
              <w:jc w:val="left"/>
              <w:rPr>
                <w:sz w:val="22"/>
                <w:szCs w:val="22"/>
              </w:rPr>
            </w:pPr>
            <w:r>
              <w:rPr>
                <w:rFonts w:eastAsia="Times New Roman" w:cs="Times New Roman" w:ascii="Times New Roman" w:hAnsi="Times New Roman"/>
                <w:color w:val="00000A"/>
                <w:kern w:val="0"/>
                <w:sz w:val="22"/>
                <w:szCs w:val="22"/>
                <w:shd w:fill="auto" w:val="clear"/>
                <w:lang w:val="uk-UA" w:eastAsia="zh-CN" w:bidi="ar-SA"/>
              </w:rPr>
              <w:t>комунальні підприємства, у яких у господарському віданні або оперативному управлінні перебувають об’єкти житлової та нежитлової нерухомості, які є власністю Покровської міської територіальної громади Дніпропетровської області</w:t>
            </w:r>
          </w:p>
        </w:tc>
        <w:tc>
          <w:tcPr>
            <w:tcW w:w="2248"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left="0" w:right="0" w:firstLine="28"/>
              <w:jc w:val="center"/>
              <w:rPr>
                <w:rFonts w:ascii="Times New Roman" w:hAnsi="Times New Roman"/>
                <w:sz w:val="22"/>
                <w:szCs w:val="22"/>
              </w:rPr>
            </w:pPr>
            <w:r>
              <w:rPr>
                <w:rFonts w:cs="Times New Roman" w:ascii="Times New Roman" w:hAnsi="Times New Roman"/>
                <w:sz w:val="22"/>
                <w:szCs w:val="22"/>
              </w:rPr>
              <w:t>100</w:t>
            </w:r>
          </w:p>
        </w:tc>
      </w:tr>
      <w:tr>
        <w:trPr/>
        <w:tc>
          <w:tcPr>
            <w:tcW w:w="7508"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left="0" w:right="0" w:firstLine="28"/>
              <w:jc w:val="left"/>
              <w:rPr>
                <w:sz w:val="22"/>
                <w:szCs w:val="22"/>
              </w:rPr>
            </w:pPr>
            <w:r>
              <w:rPr>
                <w:rFonts w:cs="Times New Roman" w:ascii="Times New Roman" w:hAnsi="Times New Roman"/>
                <w:sz w:val="22"/>
                <w:szCs w:val="22"/>
                <w:shd w:fill="auto" w:val="clear"/>
              </w:rPr>
              <w:t>фізичні особи, у власності яких перебувають господарські (присадибні) будівлі – допоміжні (нежитлові приміщення), до яких належать сараї, хліви, гаражі, літні кухні, вбиральні, погреби, навіси, котельні, бойлерні.</w:t>
            </w:r>
          </w:p>
          <w:p>
            <w:pPr>
              <w:pStyle w:val="Style24"/>
              <w:widowControl w:val="false"/>
              <w:spacing w:lineRule="auto" w:line="216" w:before="0" w:after="0"/>
              <w:ind w:left="0" w:right="0" w:firstLine="28"/>
              <w:jc w:val="left"/>
              <w:rPr>
                <w:rFonts w:ascii="Times New Roman" w:hAnsi="Times New Roman"/>
                <w:sz w:val="22"/>
                <w:szCs w:val="22"/>
                <w:shd w:fill="auto" w:val="clear"/>
              </w:rPr>
            </w:pPr>
            <w:r>
              <w:rPr>
                <w:rFonts w:cs="Times New Roman" w:ascii="Times New Roman" w:hAnsi="Times New Roman"/>
                <w:sz w:val="22"/>
                <w:szCs w:val="22"/>
                <w:shd w:fill="auto" w:val="clear"/>
              </w:rPr>
              <w:t>Якщо у власності фізичної особи є декілька будинків</w:t>
            </w:r>
          </w:p>
          <w:p>
            <w:pPr>
              <w:pStyle w:val="Style24"/>
              <w:widowControl w:val="false"/>
              <w:spacing w:lineRule="auto" w:line="216" w:before="0" w:after="0"/>
              <w:ind w:left="0" w:right="0" w:firstLine="28"/>
              <w:jc w:val="left"/>
              <w:rPr>
                <w:rFonts w:ascii="Times New Roman" w:hAnsi="Times New Roman"/>
                <w:sz w:val="22"/>
                <w:szCs w:val="22"/>
                <w:shd w:fill="auto" w:val="clear"/>
              </w:rPr>
            </w:pPr>
            <w:r>
              <w:rPr>
                <w:rFonts w:cs="Times New Roman" w:ascii="Times New Roman" w:hAnsi="Times New Roman"/>
                <w:sz w:val="22"/>
                <w:szCs w:val="22"/>
                <w:shd w:fill="auto" w:val="clear"/>
              </w:rPr>
              <w:t>та, відповідно, прибудинкових територій, така пільга</w:t>
            </w:r>
          </w:p>
          <w:p>
            <w:pPr>
              <w:pStyle w:val="Style24"/>
              <w:widowControl w:val="false"/>
              <w:spacing w:lineRule="auto" w:line="216" w:before="0" w:after="0"/>
              <w:ind w:left="0" w:right="0" w:firstLine="28"/>
              <w:jc w:val="left"/>
              <w:rPr>
                <w:rFonts w:ascii="Times New Roman" w:hAnsi="Times New Roman"/>
                <w:sz w:val="22"/>
                <w:szCs w:val="22"/>
                <w:shd w:fill="auto" w:val="clear"/>
              </w:rPr>
            </w:pPr>
            <w:r>
              <w:rPr>
                <w:rFonts w:cs="Times New Roman" w:ascii="Times New Roman" w:hAnsi="Times New Roman"/>
                <w:sz w:val="22"/>
                <w:szCs w:val="22"/>
                <w:shd w:fill="auto" w:val="clear"/>
              </w:rPr>
              <w:t>застосовується лише для обʼєктів нежитлової нерухомості,</w:t>
            </w:r>
          </w:p>
          <w:p>
            <w:pPr>
              <w:pStyle w:val="Style24"/>
              <w:widowControl w:val="false"/>
              <w:spacing w:lineRule="auto" w:line="216" w:before="0" w:after="0"/>
              <w:ind w:left="0" w:right="0" w:firstLine="28"/>
              <w:jc w:val="left"/>
              <w:rPr>
                <w:sz w:val="22"/>
                <w:szCs w:val="22"/>
                <w:shd w:fill="auto" w:val="clear"/>
              </w:rPr>
            </w:pPr>
            <w:r>
              <w:rPr>
                <w:rFonts w:cs="Times New Roman" w:ascii="Times New Roman" w:hAnsi="Times New Roman"/>
                <w:sz w:val="22"/>
                <w:szCs w:val="22"/>
                <w:shd w:fill="auto" w:val="clear"/>
              </w:rPr>
              <w:t>які розміщені на одній прибудинковій території, що</w:t>
            </w:r>
          </w:p>
          <w:p>
            <w:pPr>
              <w:pStyle w:val="Style24"/>
              <w:widowControl w:val="false"/>
              <w:spacing w:lineRule="auto" w:line="216" w:before="0" w:after="0"/>
              <w:ind w:left="0" w:right="0" w:firstLine="28"/>
              <w:jc w:val="left"/>
              <w:rPr>
                <w:rFonts w:ascii="Times New Roman" w:hAnsi="Times New Roman"/>
                <w:sz w:val="22"/>
                <w:szCs w:val="22"/>
                <w:shd w:fill="auto" w:val="clear"/>
              </w:rPr>
            </w:pPr>
            <w:r>
              <w:rPr>
                <w:rFonts w:cs="Times New Roman" w:ascii="Times New Roman" w:hAnsi="Times New Roman"/>
                <w:sz w:val="22"/>
                <w:szCs w:val="22"/>
                <w:shd w:fill="auto" w:val="clear"/>
              </w:rPr>
              <w:t>знаходиться у власності фізичної особи.</w:t>
            </w:r>
          </w:p>
        </w:tc>
        <w:tc>
          <w:tcPr>
            <w:tcW w:w="2248"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left="0" w:right="0" w:firstLine="28"/>
              <w:jc w:val="center"/>
              <w:rPr>
                <w:rFonts w:ascii="Times New Roman" w:hAnsi="Times New Roman"/>
                <w:sz w:val="22"/>
                <w:szCs w:val="22"/>
              </w:rPr>
            </w:pPr>
            <w:r>
              <w:rPr>
                <w:rFonts w:cs="Times New Roman" w:ascii="Times New Roman" w:hAnsi="Times New Roman"/>
                <w:sz w:val="22"/>
                <w:szCs w:val="22"/>
              </w:rPr>
              <w:t>100</w:t>
            </w:r>
          </w:p>
        </w:tc>
      </w:tr>
      <w:tr>
        <w:trPr/>
        <w:tc>
          <w:tcPr>
            <w:tcW w:w="7508"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left="0" w:right="0" w:firstLine="28"/>
              <w:jc w:val="left"/>
              <w:rPr>
                <w:rFonts w:ascii="Times New Roman" w:hAnsi="Times New Roman"/>
                <w:sz w:val="22"/>
                <w:szCs w:val="22"/>
              </w:rPr>
            </w:pPr>
            <w:r>
              <w:rPr>
                <w:rFonts w:cs="Times New Roman" w:ascii="Times New Roman" w:hAnsi="Times New Roman"/>
                <w:sz w:val="22"/>
                <w:szCs w:val="22"/>
              </w:rPr>
              <w:t>малозабезпечені та багатодітні сім’ї за один об’єкт житлової нерухомості</w:t>
            </w:r>
          </w:p>
        </w:tc>
        <w:tc>
          <w:tcPr>
            <w:tcW w:w="2248"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left="0" w:right="0" w:firstLine="28"/>
              <w:jc w:val="center"/>
              <w:rPr>
                <w:rFonts w:ascii="Times New Roman" w:hAnsi="Times New Roman"/>
                <w:sz w:val="22"/>
                <w:szCs w:val="22"/>
              </w:rPr>
            </w:pPr>
            <w:r>
              <w:rPr>
                <w:rFonts w:cs="Times New Roman" w:ascii="Times New Roman" w:hAnsi="Times New Roman"/>
                <w:sz w:val="22"/>
                <w:szCs w:val="22"/>
              </w:rPr>
              <w:t>100</w:t>
            </w:r>
          </w:p>
        </w:tc>
      </w:tr>
      <w:tr>
        <w:trPr/>
        <w:tc>
          <w:tcPr>
            <w:tcW w:w="7508"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left="0" w:right="0" w:firstLine="28"/>
              <w:jc w:val="left"/>
              <w:rPr>
                <w:rFonts w:ascii="Times New Roman" w:hAnsi="Times New Roman"/>
                <w:sz w:val="22"/>
                <w:szCs w:val="22"/>
              </w:rPr>
            </w:pPr>
            <w:r>
              <w:rPr>
                <w:rFonts w:cs="Times New Roman" w:ascii="Times New Roman" w:hAnsi="Times New Roman"/>
                <w:sz w:val="22"/>
                <w:szCs w:val="22"/>
              </w:rPr>
              <w:t>інваліди 1 групи за об’єкти житлової нерухомості</w:t>
            </w:r>
          </w:p>
        </w:tc>
        <w:tc>
          <w:tcPr>
            <w:tcW w:w="2248"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left="0" w:right="0" w:firstLine="28"/>
              <w:jc w:val="center"/>
              <w:rPr>
                <w:rFonts w:ascii="Times New Roman" w:hAnsi="Times New Roman"/>
                <w:sz w:val="22"/>
                <w:szCs w:val="22"/>
              </w:rPr>
            </w:pPr>
            <w:r>
              <w:rPr>
                <w:rFonts w:cs="Times New Roman" w:ascii="Times New Roman" w:hAnsi="Times New Roman"/>
                <w:sz w:val="22"/>
                <w:szCs w:val="22"/>
              </w:rPr>
              <w:t>100</w:t>
            </w:r>
          </w:p>
        </w:tc>
      </w:tr>
      <w:tr>
        <w:trPr/>
        <w:tc>
          <w:tcPr>
            <w:tcW w:w="7508"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left="0" w:right="0" w:firstLine="28"/>
              <w:jc w:val="left"/>
              <w:rPr>
                <w:sz w:val="22"/>
                <w:szCs w:val="22"/>
              </w:rPr>
            </w:pPr>
            <w:r>
              <w:rPr>
                <w:rFonts w:eastAsia="Times New Roman" w:cs="Times New Roman" w:ascii="Times New Roman" w:hAnsi="Times New Roman"/>
                <w:color w:val="00000A"/>
                <w:kern w:val="0"/>
                <w:sz w:val="22"/>
                <w:szCs w:val="22"/>
                <w:shd w:fill="auto" w:val="clear"/>
                <w:lang w:val="uk-UA" w:eastAsia="zh-CN" w:bidi="ar-SA"/>
              </w:rPr>
              <w:t>фізичні особи</w:t>
            </w:r>
            <w:r>
              <w:rPr>
                <w:rFonts w:cs="Times New Roman" w:ascii="Times New Roman" w:hAnsi="Times New Roman"/>
                <w:sz w:val="22"/>
                <w:szCs w:val="22"/>
                <w:shd w:fill="auto" w:val="clear"/>
              </w:rPr>
              <w:t xml:space="preserve"> - отримувачі житлових субсидій для відшкодування витрат на оплату житлово-комунальних послуг, придбання скрапленого газу, твердого та рідкого пічного побутового палива, яким нараховується субсидія протягом року, за об’єкти житлової нерухомості</w:t>
            </w:r>
          </w:p>
        </w:tc>
        <w:tc>
          <w:tcPr>
            <w:tcW w:w="2248"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left="0" w:right="0" w:firstLine="28"/>
              <w:jc w:val="center"/>
              <w:rPr>
                <w:rFonts w:ascii="Times New Roman" w:hAnsi="Times New Roman"/>
                <w:sz w:val="22"/>
                <w:szCs w:val="22"/>
              </w:rPr>
            </w:pPr>
            <w:r>
              <w:rPr>
                <w:rFonts w:cs="Times New Roman" w:ascii="Times New Roman" w:hAnsi="Times New Roman"/>
                <w:sz w:val="22"/>
                <w:szCs w:val="22"/>
              </w:rPr>
              <w:t>100</w:t>
            </w:r>
          </w:p>
        </w:tc>
      </w:tr>
      <w:tr>
        <w:trPr/>
        <w:tc>
          <w:tcPr>
            <w:tcW w:w="7508"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left="0" w:right="0" w:firstLine="28"/>
              <w:jc w:val="left"/>
              <w:rPr>
                <w:rFonts w:ascii="Times New Roman" w:hAnsi="Times New Roman"/>
                <w:sz w:val="22"/>
                <w:szCs w:val="22"/>
                <w:shd w:fill="auto" w:val="clear"/>
              </w:rPr>
            </w:pPr>
            <w:r>
              <w:rPr>
                <w:rFonts w:cs="Times New Roman" w:ascii="Times New Roman" w:hAnsi="Times New Roman"/>
                <w:sz w:val="22"/>
                <w:szCs w:val="22"/>
                <w:shd w:fill="auto" w:val="clear"/>
              </w:rPr>
              <w:t>батьки та сім'ї загиблих воїнів – інтернаціоналістів; батьки та сім'ї військовослужбовців, загиблих при проходженні військової служби; учасники АТО-ООС, які перебувають на обліку в Управлінні праці та соціального захисту населення</w:t>
            </w:r>
          </w:p>
        </w:tc>
        <w:tc>
          <w:tcPr>
            <w:tcW w:w="2248"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left="0" w:right="0" w:firstLine="28"/>
              <w:jc w:val="center"/>
              <w:rPr>
                <w:rFonts w:ascii="Times New Roman" w:hAnsi="Times New Roman"/>
                <w:sz w:val="22"/>
                <w:szCs w:val="22"/>
              </w:rPr>
            </w:pPr>
            <w:r>
              <w:rPr>
                <w:rFonts w:cs="Times New Roman" w:ascii="Times New Roman" w:hAnsi="Times New Roman"/>
                <w:sz w:val="22"/>
                <w:szCs w:val="22"/>
              </w:rPr>
              <w:t>100</w:t>
            </w:r>
          </w:p>
        </w:tc>
      </w:tr>
    </w:tbl>
    <w:p>
      <w:pPr>
        <w:pStyle w:val="Style24"/>
        <w:jc w:val="both"/>
        <w:rPr>
          <w:sz w:val="22"/>
          <w:szCs w:val="22"/>
        </w:rPr>
      </w:pPr>
      <w:r>
        <w:rPr>
          <w:rFonts w:cs="Times New Roman" w:ascii="Times New Roman" w:hAnsi="Times New Roman"/>
          <w:sz w:val="22"/>
          <w:szCs w:val="22"/>
          <w:shd w:fill="auto" w:val="clear"/>
          <w:vertAlign w:val="superscript"/>
        </w:rPr>
        <w:t xml:space="preserve">1 </w:t>
      </w:r>
      <w:r>
        <w:rPr>
          <w:rFonts w:cs="Times New Roman" w:ascii="Times New Roman" w:hAnsi="Times New Roman"/>
          <w:sz w:val="22"/>
          <w:szCs w:val="22"/>
          <w:shd w:fill="auto" w:val="clear"/>
        </w:rPr>
        <w:t>Пільги визначаються з урахуванням норм підпункту 12.3.7 пункту 12.3 статті</w:t>
      </w:r>
      <w:r>
        <w:rPr>
          <w:rFonts w:cs="Times New Roman" w:ascii="Times New Roman" w:hAnsi="Times New Roman"/>
          <w:sz w:val="22"/>
          <w:szCs w:val="22"/>
          <w:shd w:fill="auto" w:val="clear"/>
          <w:lang w:val="ru-RU"/>
        </w:rPr>
        <w:t xml:space="preserve"> </w:t>
      </w:r>
      <w:r>
        <w:rPr>
          <w:rFonts w:cs="Times New Roman" w:ascii="Times New Roman" w:hAnsi="Times New Roman"/>
          <w:sz w:val="22"/>
          <w:szCs w:val="22"/>
          <w:shd w:fill="auto" w:val="clear"/>
        </w:rPr>
        <w:t>12, пункту 30.2 статті 30, пункту 266.2 статті 266 Податкового кодексу України. У разі встановлення пільг, відмінних на територіях різних населених пунктів адміністративно-територіальної одиниці, за кожним населеним пунктом пільги затверджуються окремо.</w:t>
      </w:r>
    </w:p>
    <w:p>
      <w:pPr>
        <w:pStyle w:val="Normal"/>
        <w:tabs>
          <w:tab w:val="clear" w:pos="706"/>
          <w:tab w:val="left" w:pos="6165" w:leader="none"/>
        </w:tabs>
        <w:spacing w:lineRule="auto" w:line="240" w:before="0" w:after="0"/>
        <w:jc w:val="both"/>
        <w:rPr>
          <w:rFonts w:eastAsia="Calibri" w:cs="Times New Roman"/>
          <w:b w:val="false"/>
          <w:b w:val="false"/>
          <w:bCs w:val="false"/>
          <w:color w:val="000000"/>
          <w:kern w:val="0"/>
          <w:position w:val="0"/>
          <w:sz w:val="22"/>
          <w:sz w:val="22"/>
          <w:vertAlign w:val="baseline"/>
          <w:lang w:val="uk-UA" w:eastAsia="zh-CN" w:bidi="ar-SA"/>
        </w:rPr>
      </w:pPr>
      <w:r>
        <w:rPr>
          <w:rFonts w:eastAsia="Calibri" w:cs="Times New Roman"/>
          <w:b w:val="false"/>
          <w:bCs w:val="false"/>
          <w:color w:val="000000"/>
          <w:kern w:val="0"/>
          <w:position w:val="0"/>
          <w:sz w:val="22"/>
          <w:sz w:val="22"/>
          <w:vertAlign w:val="baseline"/>
          <w:lang w:val="uk-UA" w:eastAsia="zh-CN" w:bidi="ar-SA"/>
        </w:rPr>
      </w:r>
    </w:p>
    <w:p>
      <w:pPr>
        <w:pStyle w:val="Normal"/>
        <w:tabs>
          <w:tab w:val="clear" w:pos="706"/>
          <w:tab w:val="left" w:pos="6165" w:leader="none"/>
        </w:tabs>
        <w:spacing w:lineRule="auto" w:line="240" w:before="0" w:after="0"/>
        <w:jc w:val="both"/>
        <w:rPr>
          <w:rFonts w:eastAsia="Calibri" w:cs="Times New Roman"/>
          <w:b w:val="false"/>
          <w:b w:val="false"/>
          <w:bCs w:val="false"/>
          <w:color w:val="000000"/>
          <w:kern w:val="0"/>
          <w:position w:val="0"/>
          <w:sz w:val="22"/>
          <w:sz w:val="22"/>
          <w:vertAlign w:val="baseline"/>
          <w:lang w:val="uk-UA" w:eastAsia="zh-CN" w:bidi="ar-SA"/>
        </w:rPr>
      </w:pPr>
      <w:r>
        <w:rPr>
          <w:rFonts w:eastAsia="Calibri" w:cs="Times New Roman"/>
          <w:b w:val="false"/>
          <w:bCs w:val="false"/>
          <w:color w:val="000000"/>
          <w:kern w:val="0"/>
          <w:position w:val="0"/>
          <w:sz w:val="22"/>
          <w:sz w:val="22"/>
          <w:vertAlign w:val="baseline"/>
          <w:lang w:val="uk-UA" w:eastAsia="zh-CN" w:bidi="ar-SA"/>
        </w:rPr>
      </w:r>
    </w:p>
    <w:p>
      <w:pPr>
        <w:pStyle w:val="Normal"/>
        <w:tabs>
          <w:tab w:val="clear" w:pos="706"/>
          <w:tab w:val="left" w:pos="6165" w:leader="none"/>
        </w:tabs>
        <w:spacing w:lineRule="auto" w:line="240" w:before="0" w:after="200"/>
        <w:jc w:val="both"/>
        <w:rPr>
          <w:sz w:val="26"/>
          <w:szCs w:val="26"/>
        </w:rPr>
      </w:pPr>
      <w:r>
        <w:rPr>
          <w:rFonts w:eastAsia="Calibri" w:cs="Times New Roman"/>
          <w:b w:val="false"/>
          <w:bCs w:val="false"/>
          <w:color w:val="000000"/>
          <w:kern w:val="0"/>
          <w:position w:val="0"/>
          <w:sz w:val="26"/>
          <w:sz w:val="26"/>
          <w:szCs w:val="26"/>
          <w:vertAlign w:val="baseline"/>
          <w:lang w:val="uk-UA" w:eastAsia="zh-CN" w:bidi="ar-SA"/>
        </w:rPr>
        <w:t>Начальник відділу економіки</w:t>
        <w:tab/>
        <w:tab/>
        <w:tab/>
        <w:tab/>
        <w:t xml:space="preserve">Т.В. </w:t>
      </w:r>
      <w:r>
        <w:rPr>
          <w:rFonts w:eastAsia="Calibri" w:cs="Times New Roman"/>
          <w:b w:val="false"/>
          <w:bCs w:val="false"/>
          <w:color w:val="00000A"/>
          <w:kern w:val="0"/>
          <w:position w:val="0"/>
          <w:sz w:val="26"/>
          <w:sz w:val="26"/>
          <w:szCs w:val="26"/>
          <w:vertAlign w:val="baseline"/>
          <w:lang w:val="uk-UA" w:eastAsia="zh-CN" w:bidi="ar-SA"/>
        </w:rPr>
        <w:t>Сідашова</w:t>
      </w:r>
    </w:p>
    <w:sectPr>
      <w:headerReference w:type="default" r:id="rId5"/>
      <w:type w:val="nextPage"/>
      <w:pgSz w:w="11906" w:h="16781"/>
      <w:pgMar w:left="1680" w:right="567" w:header="0" w:top="810" w:footer="0" w:bottom="77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Antiqua">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5"/>
      <w:bidi w:val="0"/>
      <w:spacing w:before="0" w:after="0"/>
      <w:jc w:val="center"/>
      <w:rPr>
        <w:b/>
        <w:b/>
        <w:bCs/>
        <w:sz w:val="28"/>
        <w:szCs w:val="28"/>
        <w:lang w:val="uk-UA"/>
      </w:rPr>
    </w:pPr>
    <w:r>
      <w:rPr>
        <w:b/>
        <w:bCs/>
        <w:sz w:val="28"/>
        <w:szCs w:val="28"/>
        <w:lang w:val="uk-UA"/>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settings.xml><?xml version="1.0" encoding="utf-8"?>
<w:settings xmlns:w="http://schemas.openxmlformats.org/wordprocessingml/2006/main">
  <w:zoom w:percent="110"/>
  <w:defaultTabStop w:val="706"/>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uk-UA"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left"/>
    </w:pPr>
    <w:rPr>
      <w:rFonts w:ascii="Times New Roman" w:hAnsi="Times New Roman" w:eastAsia="Andale Sans UI;Arial Unicode MS" w:cs="Tahoma"/>
      <w:color w:val="auto"/>
      <w:kern w:val="2"/>
      <w:sz w:val="24"/>
      <w:szCs w:val="24"/>
      <w:lang w:val="zxx" w:eastAsia="zxx" w:bidi="zxx"/>
    </w:rPr>
  </w:style>
  <w:style w:type="character" w:styleId="WW8Num2z0">
    <w:name w:val="WW8Num2z0"/>
    <w:qFormat/>
    <w:rPr>
      <w:rFonts w:cs="Times New Roman"/>
      <w:sz w:val="28"/>
      <w:szCs w:val="28"/>
      <w:lang w:val="uk-UA" w:bidi="ar-SA"/>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Tlidtranslation">
    <w:name w:val="tlid-translation"/>
    <w:qFormat/>
    <w:rPr/>
  </w:style>
  <w:style w:type="paragraph" w:styleId="Style14">
    <w:name w:val="Заголовок"/>
    <w:basedOn w:val="Normal"/>
    <w:next w:val="Style15"/>
    <w:qFormat/>
    <w:pPr>
      <w:keepNext w:val="true"/>
      <w:spacing w:before="240" w:after="120"/>
    </w:pPr>
    <w:rPr>
      <w:rFonts w:ascii="Arial" w:hAnsi="Arial" w:eastAsia="Andale Sans UI;Arial Unicode MS" w:cs="Tahoma"/>
      <w:sz w:val="28"/>
      <w:szCs w:val="28"/>
    </w:rPr>
  </w:style>
  <w:style w:type="paragraph" w:styleId="Style15">
    <w:name w:val="Body Text"/>
    <w:basedOn w:val="Normal"/>
    <w:pPr>
      <w:spacing w:before="0" w:after="120"/>
    </w:pPr>
    <w:rPr/>
  </w:style>
  <w:style w:type="paragraph" w:styleId="Style16">
    <w:name w:val="List"/>
    <w:basedOn w:val="Style15"/>
    <w:pPr/>
    <w:rPr>
      <w:rFonts w:cs="Tahoma"/>
    </w:rPr>
  </w:style>
  <w:style w:type="paragraph" w:styleId="Style17">
    <w:name w:val="Caption"/>
    <w:basedOn w:val="Normal"/>
    <w:qFormat/>
    <w:pPr>
      <w:suppressLineNumbers/>
      <w:spacing w:before="120" w:after="120"/>
    </w:pPr>
    <w:rPr>
      <w:rFonts w:cs="Tahoma"/>
      <w:i/>
      <w:iCs/>
      <w:sz w:val="24"/>
      <w:szCs w:val="24"/>
    </w:rPr>
  </w:style>
  <w:style w:type="paragraph" w:styleId="Style18">
    <w:name w:val="Покажчик"/>
    <w:basedOn w:val="Normal"/>
    <w:qFormat/>
    <w:pPr>
      <w:suppressLineNumbers/>
    </w:pPr>
    <w:rPr>
      <w:rFonts w:cs="Tahoma"/>
    </w:rPr>
  </w:style>
  <w:style w:type="paragraph" w:styleId="Style19">
    <w:name w:val="Указатель"/>
    <w:basedOn w:val="Normal"/>
    <w:qFormat/>
    <w:pPr>
      <w:suppressLineNumbers/>
    </w:pPr>
    <w:rPr>
      <w:rFonts w:cs="Lohit Devanagari"/>
    </w:rPr>
  </w:style>
  <w:style w:type="paragraph" w:styleId="BodyText2">
    <w:name w:val="Body Text 2"/>
    <w:basedOn w:val="Normal"/>
    <w:qFormat/>
    <w:pPr>
      <w:ind w:left="0" w:right="0" w:firstLine="720"/>
      <w:jc w:val="center"/>
    </w:pPr>
    <w:rPr>
      <w:sz w:val="24"/>
      <w:szCs w:val="20"/>
    </w:rPr>
  </w:style>
  <w:style w:type="paragraph" w:styleId="Style20">
    <w:name w:val="Верхній і нижній колонтитули"/>
    <w:basedOn w:val="Normal"/>
    <w:qFormat/>
    <w:pPr>
      <w:suppressLineNumbers/>
      <w:tabs>
        <w:tab w:val="clear" w:pos="706"/>
        <w:tab w:val="center" w:pos="4819" w:leader="none"/>
        <w:tab w:val="right" w:pos="9638" w:leader="none"/>
      </w:tabs>
    </w:pPr>
    <w:rPr/>
  </w:style>
  <w:style w:type="paragraph" w:styleId="Style21">
    <w:name w:val="Верхний и нижний колонтитулы"/>
    <w:basedOn w:val="Normal"/>
    <w:qFormat/>
    <w:pPr/>
    <w:rPr/>
  </w:style>
  <w:style w:type="paragraph" w:styleId="Style22">
    <w:name w:val="Header"/>
    <w:basedOn w:val="Normal"/>
    <w:pPr>
      <w:suppressLineNumbers/>
      <w:tabs>
        <w:tab w:val="clear" w:pos="706"/>
        <w:tab w:val="center" w:pos="4819" w:leader="none"/>
        <w:tab w:val="right" w:pos="9638" w:leader="none"/>
      </w:tabs>
    </w:pPr>
    <w:rPr/>
  </w:style>
  <w:style w:type="paragraph" w:styleId="StyleZakonu">
    <w:name w:val="StyleZakonu"/>
    <w:basedOn w:val="Normal"/>
    <w:qFormat/>
    <w:pPr>
      <w:spacing w:lineRule="exact" w:line="220" w:before="0" w:after="60"/>
      <w:ind w:left="0" w:right="0" w:firstLine="284"/>
      <w:jc w:val="both"/>
    </w:pPr>
    <w:rPr>
      <w:rFonts w:ascii="Times New Roman" w:hAnsi="Times New Roman" w:eastAsia="Times New Roman" w:cs="Times New Roman"/>
      <w:sz w:val="20"/>
      <w:szCs w:val="20"/>
    </w:rPr>
  </w:style>
  <w:style w:type="paragraph" w:styleId="Style23">
    <w:name w:val="Назва документа"/>
    <w:basedOn w:val="Normal"/>
    <w:qFormat/>
    <w:pPr>
      <w:keepNext w:val="true"/>
      <w:keepLines/>
      <w:spacing w:lineRule="auto" w:line="240" w:before="240" w:after="240"/>
      <w:jc w:val="center"/>
    </w:pPr>
    <w:rPr>
      <w:rFonts w:ascii="Antiqua" w:hAnsi="Antiqua" w:eastAsia="Times New Roman" w:cs="Antiqua"/>
      <w:b/>
      <w:sz w:val="26"/>
      <w:szCs w:val="20"/>
    </w:rPr>
  </w:style>
  <w:style w:type="paragraph" w:styleId="Style24">
    <w:name w:val="Нормальний текст"/>
    <w:basedOn w:val="Normal"/>
    <w:qFormat/>
    <w:pPr>
      <w:spacing w:lineRule="auto" w:line="240" w:before="120" w:after="0"/>
      <w:ind w:left="0" w:right="0" w:firstLine="567"/>
    </w:pPr>
    <w:rPr>
      <w:rFonts w:ascii="Antiqua" w:hAnsi="Antiqua" w:eastAsia="Times New Roman" w:cs="Antiqua"/>
      <w:sz w:val="26"/>
      <w:szCs w:val="20"/>
    </w:rPr>
  </w:style>
  <w:style w:type="paragraph" w:styleId="Style25">
    <w:name w:val="Содержимое таблицы"/>
    <w:basedOn w:val="Normal"/>
    <w:qFormat/>
    <w:pPr>
      <w:widowControl w:val="false"/>
      <w:suppressLineNumbers/>
    </w:pPr>
    <w:rPr/>
  </w:style>
  <w:style w:type="paragraph" w:styleId="Style26">
    <w:name w:val="Заголовок таблицы"/>
    <w:basedOn w:val="Style25"/>
    <w:qFormat/>
    <w:pPr>
      <w:suppressLineNumbers/>
      <w:jc w:val="center"/>
    </w:pPr>
    <w:rPr>
      <w:b/>
      <w:bCs/>
    </w:rPr>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209</TotalTime>
  <Application>LibreOffice/7.0.3.1$Windows_X86_64 LibreOffice_project/d7547858d014d4cf69878db179d326fc3483e082</Application>
  <Pages>12</Pages>
  <Words>3058</Words>
  <Characters>18247</Characters>
  <CharactersWithSpaces>20639</CharactersWithSpaces>
  <Paragraphs>1190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2021-04-19T09:22:47Z</dcterms:created>
  <dc:creator/>
  <dc:description/>
  <dc:language>uk-UA</dc:language>
  <cp:lastModifiedBy/>
  <cp:lastPrinted>2021-06-29T13:26:36Z</cp:lastPrinted>
  <dcterms:modified xsi:type="dcterms:W3CDTF">2021-06-30T09:43:48Z</dcterms:modified>
  <cp:revision>70</cp:revision>
  <dc:subject/>
  <dc:title/>
</cp:coreProperties>
</file>